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5714" w14:textId="783DE54D" w:rsidR="00C732B0" w:rsidRDefault="00C732B0" w:rsidP="00C732B0">
      <w:pPr>
        <w:pStyle w:val="NormaleWeb"/>
        <w:jc w:val="center"/>
        <w:rPr>
          <w:rFonts w:asciiTheme="minorHAnsi" w:hAnsiTheme="minorHAnsi" w:cstheme="minorHAnsi"/>
          <w:u w:val="single"/>
        </w:rPr>
      </w:pPr>
      <w:r w:rsidRPr="00C732B0">
        <w:rPr>
          <w:rFonts w:asciiTheme="minorHAnsi" w:hAnsiTheme="minorHAnsi" w:cstheme="minorHAnsi"/>
          <w:u w:val="single"/>
        </w:rPr>
        <w:t>FAC SIMILE DA PREDISPORRE</w:t>
      </w:r>
      <w:r w:rsidRPr="00C732B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732B0">
        <w:rPr>
          <w:rFonts w:asciiTheme="minorHAnsi" w:hAnsiTheme="minorHAnsi" w:cstheme="minorHAnsi"/>
          <w:u w:val="single"/>
        </w:rPr>
        <w:t xml:space="preserve">SU CARTA INTESTATA DI MEDEA E TRASMETTERE VIA PEC AD </w:t>
      </w:r>
      <w:hyperlink r:id="rId11" w:history="1">
        <w:r w:rsidR="00D80FAA" w:rsidRPr="004A0A8D">
          <w:rPr>
            <w:rStyle w:val="Collegamentoipertestuale"/>
            <w:rFonts w:asciiTheme="minorHAnsi" w:hAnsiTheme="minorHAnsi" w:cstheme="minorHAnsi"/>
          </w:rPr>
          <w:t>accessi@pec.italgasreti.it</w:t>
        </w:r>
      </w:hyperlink>
    </w:p>
    <w:p w14:paraId="56876F30" w14:textId="69D879B9" w:rsidR="00BE07A2" w:rsidRPr="0088100F" w:rsidRDefault="00BE07A2" w:rsidP="00BE07A2">
      <w:pPr>
        <w:pStyle w:val="NormaleWeb"/>
        <w:jc w:val="both"/>
        <w:rPr>
          <w:rFonts w:asciiTheme="minorHAnsi" w:hAnsiTheme="minorHAnsi" w:cstheme="minorHAnsi"/>
          <w:b/>
          <w:bCs/>
        </w:rPr>
      </w:pPr>
      <w:r w:rsidRPr="0088100F">
        <w:rPr>
          <w:rFonts w:asciiTheme="minorHAnsi" w:hAnsiTheme="minorHAnsi" w:cstheme="minorHAnsi"/>
          <w:b/>
          <w:bCs/>
        </w:rPr>
        <w:t xml:space="preserve">Modifica dell’iniziativa commerciale “Domo Mea by Medea” di Medea per le </w:t>
      </w:r>
      <w:proofErr w:type="spellStart"/>
      <w:r w:rsidRPr="0088100F">
        <w:rPr>
          <w:rFonts w:asciiTheme="minorHAnsi" w:hAnsiTheme="minorHAnsi" w:cstheme="minorHAnsi"/>
          <w:b/>
          <w:bCs/>
        </w:rPr>
        <w:t>Societa</w:t>
      </w:r>
      <w:proofErr w:type="spellEnd"/>
      <w:r w:rsidRPr="0088100F">
        <w:rPr>
          <w:rFonts w:asciiTheme="minorHAnsi" w:hAnsiTheme="minorHAnsi" w:cstheme="minorHAnsi"/>
          <w:b/>
          <w:bCs/>
        </w:rPr>
        <w:t xml:space="preserve">̀ di Vendita </w:t>
      </w:r>
    </w:p>
    <w:p w14:paraId="24C17116" w14:textId="276EB851" w:rsidR="00BE07A2" w:rsidRPr="0088100F" w:rsidRDefault="00BE07A2" w:rsidP="00BA54CF">
      <w:pPr>
        <w:pStyle w:val="NormaleWeb"/>
        <w:spacing w:line="240" w:lineRule="exact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Con l’obiettivo di supportare le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>̀ di Vendita nell’</w:t>
      </w:r>
      <w:r w:rsidR="00BA54CF" w:rsidRPr="0088100F">
        <w:rPr>
          <w:rFonts w:asciiTheme="minorHAnsi" w:hAnsiTheme="minorHAnsi" w:cstheme="minorHAnsi"/>
        </w:rPr>
        <w:t>intent</w:t>
      </w:r>
      <w:r w:rsidRPr="0088100F">
        <w:rPr>
          <w:rFonts w:asciiTheme="minorHAnsi" w:hAnsiTheme="minorHAnsi" w:cstheme="minorHAnsi"/>
        </w:rPr>
        <w:t>o comune di promuovere lo sviluppo del mercato del gas naturale in Sardegna, Medea S.p.A. (di seguito “</w:t>
      </w:r>
      <w:r w:rsidRPr="0088100F">
        <w:rPr>
          <w:rFonts w:asciiTheme="minorHAnsi" w:hAnsiTheme="minorHAnsi" w:cstheme="minorHAnsi"/>
          <w:b/>
          <w:bCs/>
        </w:rPr>
        <w:t>Medea</w:t>
      </w:r>
      <w:r w:rsidRPr="0088100F">
        <w:rPr>
          <w:rFonts w:asciiTheme="minorHAnsi" w:hAnsiTheme="minorHAnsi" w:cstheme="minorHAnsi"/>
        </w:rPr>
        <w:t xml:space="preserve">”) ha </w:t>
      </w:r>
      <w:r w:rsidR="00FB18A1" w:rsidRPr="0088100F">
        <w:rPr>
          <w:rFonts w:asciiTheme="minorHAnsi" w:hAnsiTheme="minorHAnsi" w:cstheme="minorHAnsi"/>
        </w:rPr>
        <w:t>rinnovato l’</w:t>
      </w:r>
      <w:r w:rsidRPr="0088100F">
        <w:rPr>
          <w:rFonts w:asciiTheme="minorHAnsi" w:hAnsiTheme="minorHAnsi" w:cstheme="minorHAnsi"/>
        </w:rPr>
        <w:t xml:space="preserve">iniziativa commerciale </w:t>
      </w:r>
      <w:r w:rsidR="00BA6F63" w:rsidRPr="0088100F">
        <w:rPr>
          <w:rFonts w:asciiTheme="minorHAnsi" w:hAnsiTheme="minorHAnsi" w:cstheme="minorHAnsi"/>
        </w:rPr>
        <w:t>Domo Mea by Medea (di seguito l’”</w:t>
      </w:r>
      <w:r w:rsidR="00BA6F63" w:rsidRPr="0088100F">
        <w:rPr>
          <w:rFonts w:asciiTheme="minorHAnsi" w:hAnsiTheme="minorHAnsi" w:cstheme="minorHAnsi"/>
          <w:b/>
          <w:bCs/>
        </w:rPr>
        <w:t>Iniziativa</w:t>
      </w:r>
      <w:r w:rsidR="00BA6F63" w:rsidRPr="0088100F">
        <w:rPr>
          <w:rFonts w:asciiTheme="minorHAnsi" w:hAnsiTheme="minorHAnsi" w:cstheme="minorHAnsi"/>
        </w:rPr>
        <w:t xml:space="preserve">”) </w:t>
      </w:r>
      <w:r w:rsidRPr="0088100F">
        <w:rPr>
          <w:rFonts w:asciiTheme="minorHAnsi" w:hAnsiTheme="minorHAnsi" w:cstheme="minorHAnsi"/>
        </w:rPr>
        <w:t>valida da</w:t>
      </w:r>
      <w:r w:rsidR="00D76992" w:rsidRPr="0088100F">
        <w:rPr>
          <w:rFonts w:asciiTheme="minorHAnsi" w:hAnsiTheme="minorHAnsi" w:cstheme="minorHAnsi"/>
        </w:rPr>
        <w:t>l</w:t>
      </w:r>
      <w:r w:rsidR="008D40EF" w:rsidRPr="0088100F">
        <w:rPr>
          <w:rFonts w:asciiTheme="minorHAnsi" w:hAnsiTheme="minorHAnsi" w:cstheme="minorHAnsi"/>
        </w:rPr>
        <w:t xml:space="preserve"> 01 </w:t>
      </w:r>
      <w:r w:rsidR="00DF664D" w:rsidRPr="0088100F">
        <w:rPr>
          <w:rFonts w:asciiTheme="minorHAnsi" w:hAnsiTheme="minorHAnsi" w:cstheme="minorHAnsi"/>
        </w:rPr>
        <w:t>agosto</w:t>
      </w:r>
      <w:r w:rsidR="00F722B1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>202</w:t>
      </w:r>
      <w:r w:rsidR="00D76992" w:rsidRPr="0088100F">
        <w:rPr>
          <w:rFonts w:asciiTheme="minorHAnsi" w:hAnsiTheme="minorHAnsi" w:cstheme="minorHAnsi"/>
        </w:rPr>
        <w:t>4</w:t>
      </w:r>
      <w:r w:rsidRPr="0088100F">
        <w:rPr>
          <w:rFonts w:asciiTheme="minorHAnsi" w:hAnsiTheme="minorHAnsi" w:cstheme="minorHAnsi"/>
        </w:rPr>
        <w:t xml:space="preserve"> fino al 31 dicembre 202</w:t>
      </w:r>
      <w:r w:rsidR="00D76992" w:rsidRPr="0088100F">
        <w:rPr>
          <w:rFonts w:asciiTheme="minorHAnsi" w:hAnsiTheme="minorHAnsi" w:cstheme="minorHAnsi"/>
        </w:rPr>
        <w:t>4</w:t>
      </w:r>
      <w:r w:rsidRPr="0088100F">
        <w:rPr>
          <w:rFonts w:asciiTheme="minorHAnsi" w:hAnsiTheme="minorHAnsi" w:cstheme="minorHAnsi"/>
        </w:rPr>
        <w:t xml:space="preserve"> (di seguito il “</w:t>
      </w:r>
      <w:r w:rsidRPr="0088100F">
        <w:rPr>
          <w:rFonts w:asciiTheme="minorHAnsi" w:hAnsiTheme="minorHAnsi" w:cstheme="minorHAnsi"/>
          <w:b/>
          <w:bCs/>
        </w:rPr>
        <w:t>Periodo</w:t>
      </w:r>
      <w:r w:rsidRPr="0088100F">
        <w:rPr>
          <w:rFonts w:asciiTheme="minorHAnsi" w:hAnsiTheme="minorHAnsi" w:cstheme="minorHAnsi"/>
        </w:rPr>
        <w:t>”)</w:t>
      </w:r>
      <w:r w:rsidR="00D76992" w:rsidRPr="0088100F">
        <w:rPr>
          <w:rFonts w:asciiTheme="minorHAnsi" w:hAnsiTheme="minorHAnsi" w:cstheme="minorHAnsi"/>
        </w:rPr>
        <w:t>.</w:t>
      </w:r>
    </w:p>
    <w:p w14:paraId="2C1C1B01" w14:textId="6A2B4318" w:rsidR="00BE07A2" w:rsidRPr="0088100F" w:rsidRDefault="00BE07A2" w:rsidP="00BA54CF">
      <w:pPr>
        <w:pStyle w:val="NormaleWeb"/>
        <w:spacing w:line="240" w:lineRule="exact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L’Iniziativa è rivolta a tutte le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>̀ di Vendita operative sulle reti di Medea in Sardegna</w:t>
      </w:r>
      <w:r w:rsidR="00C732B0">
        <w:rPr>
          <w:rFonts w:asciiTheme="minorHAnsi" w:hAnsiTheme="minorHAnsi" w:cstheme="minorHAnsi"/>
        </w:rPr>
        <w:t>,</w:t>
      </w:r>
      <w:r w:rsidRPr="0088100F">
        <w:rPr>
          <w:rFonts w:asciiTheme="minorHAnsi" w:hAnsiTheme="minorHAnsi" w:cstheme="minorHAnsi"/>
        </w:rPr>
        <w:t xml:space="preserve"> ed è attiva nei Comuni a gas naturale e ad aria </w:t>
      </w:r>
      <w:proofErr w:type="spellStart"/>
      <w:r w:rsidRPr="0088100F">
        <w:rPr>
          <w:rFonts w:asciiTheme="minorHAnsi" w:hAnsiTheme="minorHAnsi" w:cstheme="minorHAnsi"/>
        </w:rPr>
        <w:t>propanata</w:t>
      </w:r>
      <w:proofErr w:type="spellEnd"/>
      <w:r w:rsidRPr="0088100F">
        <w:rPr>
          <w:rFonts w:asciiTheme="minorHAnsi" w:hAnsiTheme="minorHAnsi" w:cstheme="minorHAnsi"/>
        </w:rPr>
        <w:t xml:space="preserve"> gestiti da Medea e disponibili a</w:t>
      </w:r>
      <w:r w:rsidR="00B4204A" w:rsidRPr="0088100F">
        <w:rPr>
          <w:rFonts w:asciiTheme="minorHAnsi" w:hAnsiTheme="minorHAnsi" w:cstheme="minorHAnsi"/>
        </w:rPr>
        <w:t>ll’</w:t>
      </w:r>
      <w:r w:rsidRPr="0088100F">
        <w:rPr>
          <w:rFonts w:asciiTheme="minorHAnsi" w:hAnsiTheme="minorHAnsi" w:cstheme="minorHAnsi"/>
        </w:rPr>
        <w:t>elenc</w:t>
      </w:r>
      <w:r w:rsidR="00B4204A" w:rsidRPr="0088100F">
        <w:rPr>
          <w:rFonts w:asciiTheme="minorHAnsi" w:hAnsiTheme="minorHAnsi" w:cstheme="minorHAnsi"/>
        </w:rPr>
        <w:t>o</w:t>
      </w:r>
      <w:r w:rsidRPr="0088100F">
        <w:rPr>
          <w:rFonts w:asciiTheme="minorHAnsi" w:hAnsiTheme="minorHAnsi" w:cstheme="minorHAnsi"/>
        </w:rPr>
        <w:t xml:space="preserve"> di cui all’</w:t>
      </w:r>
      <w:r w:rsidRPr="0088100F">
        <w:rPr>
          <w:rFonts w:asciiTheme="minorHAnsi" w:hAnsiTheme="minorHAnsi" w:cstheme="minorHAnsi"/>
          <w:b/>
          <w:bCs/>
        </w:rPr>
        <w:t>Allegato 1</w:t>
      </w:r>
      <w:r w:rsidR="00B4204A" w:rsidRPr="0088100F">
        <w:rPr>
          <w:rFonts w:asciiTheme="minorHAnsi" w:hAnsiTheme="minorHAnsi" w:cstheme="minorHAnsi"/>
          <w:b/>
          <w:bCs/>
        </w:rPr>
        <w:t>.</w:t>
      </w:r>
    </w:p>
    <w:p w14:paraId="4D44D02D" w14:textId="77777777" w:rsidR="00BE07A2" w:rsidRPr="0088100F" w:rsidRDefault="00BE07A2" w:rsidP="00BA54CF">
      <w:pPr>
        <w:pStyle w:val="NormaleWeb"/>
        <w:spacing w:line="240" w:lineRule="exact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L’Iniziativa è strutturata come segue: </w:t>
      </w:r>
    </w:p>
    <w:p w14:paraId="691BD7EC" w14:textId="3CBA891F" w:rsidR="006801BE" w:rsidRPr="0088100F" w:rsidRDefault="00BE07A2" w:rsidP="00BA54CF">
      <w:pPr>
        <w:pStyle w:val="NormaleWeb"/>
        <w:numPr>
          <w:ilvl w:val="0"/>
          <w:numId w:val="5"/>
        </w:numPr>
        <w:spacing w:before="180" w:after="180" w:line="240" w:lineRule="exact"/>
        <w:jc w:val="both"/>
        <w:rPr>
          <w:rFonts w:asciiTheme="minorHAnsi" w:hAnsiTheme="minorHAnsi" w:cstheme="minorHAnsi"/>
          <w:color w:val="004581"/>
        </w:rPr>
      </w:pPr>
      <w:r w:rsidRPr="0088100F">
        <w:rPr>
          <w:rFonts w:asciiTheme="minorHAnsi" w:hAnsiTheme="minorHAnsi" w:cstheme="minorHAnsi"/>
        </w:rPr>
        <w:t xml:space="preserve">Durante tutto il Periodo dell’Iniziativa, a fronte della richiesta da parte di un cliente (residenziale e P.IVA) 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dell’attivazione della fornitura gas, 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</w:t>
      </w:r>
      <w:proofErr w:type="spellStart"/>
      <w:r w:rsidRPr="0088100F">
        <w:rPr>
          <w:rFonts w:asciiTheme="minorHAnsi" w:hAnsiTheme="minorHAnsi" w:cstheme="minorHAnsi"/>
        </w:rPr>
        <w:t>offrira</w:t>
      </w:r>
      <w:proofErr w:type="spellEnd"/>
      <w:r w:rsidRPr="0088100F">
        <w:rPr>
          <w:rFonts w:asciiTheme="minorHAnsi" w:hAnsiTheme="minorHAnsi" w:cstheme="minorHAnsi"/>
        </w:rPr>
        <w:t xml:space="preserve">̀ ai clienti che sceglieranno un tecnico installatore dalla stessa convenzionato, contributi economici </w:t>
      </w:r>
      <w:r w:rsidR="007C0CEA" w:rsidRPr="0088100F">
        <w:rPr>
          <w:rFonts w:asciiTheme="minorHAnsi" w:hAnsiTheme="minorHAnsi" w:cstheme="minorHAnsi"/>
        </w:rPr>
        <w:t>(di seguito anche l’“</w:t>
      </w:r>
      <w:r w:rsidR="007C0CEA" w:rsidRPr="0088100F">
        <w:rPr>
          <w:rFonts w:asciiTheme="minorHAnsi" w:hAnsiTheme="minorHAnsi" w:cstheme="minorHAnsi"/>
          <w:b/>
          <w:bCs/>
        </w:rPr>
        <w:t>Intervento</w:t>
      </w:r>
      <w:r w:rsidR="007C0CEA" w:rsidRPr="0088100F">
        <w:rPr>
          <w:rFonts w:asciiTheme="minorHAnsi" w:hAnsiTheme="minorHAnsi" w:cstheme="minorHAnsi"/>
        </w:rPr>
        <w:t xml:space="preserve">”) </w:t>
      </w:r>
      <w:r w:rsidR="006801BE" w:rsidRPr="0088100F">
        <w:rPr>
          <w:rFonts w:asciiTheme="minorHAnsi" w:hAnsiTheme="minorHAnsi" w:cstheme="minorHAnsi"/>
        </w:rPr>
        <w:t>per:</w:t>
      </w:r>
    </w:p>
    <w:p w14:paraId="4D38745F" w14:textId="79C20709" w:rsidR="006801BE" w:rsidRPr="0088100F" w:rsidRDefault="006801BE" w:rsidP="00BA54CF">
      <w:pPr>
        <w:pStyle w:val="NormaleWeb"/>
        <w:numPr>
          <w:ilvl w:val="1"/>
          <w:numId w:val="4"/>
        </w:numPr>
        <w:spacing w:before="180" w:beforeAutospacing="0" w:after="180" w:afterAutospacing="0" w:line="240" w:lineRule="exact"/>
        <w:jc w:val="both"/>
        <w:rPr>
          <w:rFonts w:asciiTheme="minorHAnsi" w:hAnsiTheme="minorHAnsi" w:cstheme="minorHAnsi"/>
          <w:color w:val="000000" w:themeColor="text1"/>
        </w:rPr>
      </w:pPr>
      <w:r w:rsidRPr="0088100F">
        <w:rPr>
          <w:rFonts w:asciiTheme="minorHAnsi" w:hAnsiTheme="minorHAnsi" w:cstheme="minorHAnsi"/>
          <w:color w:val="000000" w:themeColor="text1"/>
        </w:rPr>
        <w:t>attività in opera di trasformazione/adeguamento dell’impianto di utenza gas del cliente (impianto interno ed apparecchi utilizzatori su di esso attestati), quali: cambio ugelli cucina, trasformazione altri apparecchi utilizzatori, interventi su tubazioni esistenti, adeguamento valvola con presa di pressione, foro o altri dispositivi per l’aerazione/ventilazione/esalazione dei locali di installazione degli apparecchi, sostituzione flessibili cucina, e quant’altro necessario per la “messa in servizio in sicurezza” dell’impianto, secondo normativa tecnica applicabile all’impiego</w:t>
      </w:r>
      <w:r w:rsidR="00F25C58" w:rsidRPr="0088100F">
        <w:rPr>
          <w:rFonts w:asciiTheme="minorHAnsi" w:hAnsiTheme="minorHAnsi" w:cstheme="minorHAnsi"/>
          <w:color w:val="000000" w:themeColor="text1"/>
        </w:rPr>
        <w:t>,</w:t>
      </w:r>
      <w:r w:rsidRPr="0088100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8100F">
        <w:rPr>
          <w:rFonts w:asciiTheme="minorHAnsi" w:hAnsiTheme="minorHAnsi" w:cstheme="minorHAnsi"/>
          <w:color w:val="000000" w:themeColor="text1"/>
        </w:rPr>
        <w:t>nonchè</w:t>
      </w:r>
      <w:proofErr w:type="spellEnd"/>
      <w:r w:rsidRPr="0088100F">
        <w:rPr>
          <w:rFonts w:asciiTheme="minorHAnsi" w:hAnsiTheme="minorHAnsi" w:cstheme="minorHAnsi"/>
          <w:color w:val="000000" w:themeColor="text1"/>
        </w:rPr>
        <w:t xml:space="preserve"> certificazione di cui alla </w:t>
      </w:r>
      <w:proofErr w:type="spellStart"/>
      <w:r w:rsidRPr="0088100F">
        <w:rPr>
          <w:rFonts w:asciiTheme="minorHAnsi" w:hAnsiTheme="minorHAnsi" w:cstheme="minorHAnsi"/>
          <w:color w:val="000000" w:themeColor="text1"/>
        </w:rPr>
        <w:t>delib</w:t>
      </w:r>
      <w:proofErr w:type="spellEnd"/>
      <w:r w:rsidRPr="0088100F">
        <w:rPr>
          <w:rFonts w:asciiTheme="minorHAnsi" w:hAnsiTheme="minorHAnsi" w:cstheme="minorHAnsi"/>
          <w:color w:val="000000" w:themeColor="text1"/>
        </w:rPr>
        <w:t>. ARERA n.40/14 e linee guida C.I.G. n.1 e 11.</w:t>
      </w:r>
    </w:p>
    <w:p w14:paraId="09D52F31" w14:textId="7C71DFC0" w:rsidR="006801BE" w:rsidRPr="0088100F" w:rsidRDefault="006801BE" w:rsidP="00BA54CF">
      <w:pPr>
        <w:pStyle w:val="NormaleWeb"/>
        <w:numPr>
          <w:ilvl w:val="1"/>
          <w:numId w:val="4"/>
        </w:numPr>
        <w:spacing w:before="180" w:beforeAutospacing="0" w:after="180" w:afterAutospacing="0" w:line="240" w:lineRule="exact"/>
        <w:jc w:val="both"/>
        <w:rPr>
          <w:rFonts w:asciiTheme="minorHAnsi" w:hAnsiTheme="minorHAnsi" w:cstheme="minorHAnsi"/>
          <w:color w:val="666666"/>
        </w:rPr>
      </w:pPr>
      <w:r w:rsidRPr="0088100F">
        <w:rPr>
          <w:rFonts w:asciiTheme="minorHAnsi" w:hAnsiTheme="minorHAnsi" w:cstheme="minorHAnsi"/>
          <w:color w:val="000000" w:themeColor="text1"/>
        </w:rPr>
        <w:t>attività in opera di realizzazione e “messa in servizio in sicurezza” dell’impianto di utenza gas del cliente (dal contatore</w:t>
      </w:r>
      <w:r w:rsidR="00237C4D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Pr="0088100F">
        <w:rPr>
          <w:rFonts w:asciiTheme="minorHAnsi" w:hAnsiTheme="minorHAnsi" w:cstheme="minorHAnsi"/>
          <w:color w:val="000000" w:themeColor="text1"/>
        </w:rPr>
        <w:t>-</w:t>
      </w:r>
      <w:r w:rsidR="00237C4D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Pr="0088100F">
        <w:rPr>
          <w:rFonts w:asciiTheme="minorHAnsi" w:hAnsiTheme="minorHAnsi" w:cstheme="minorHAnsi"/>
          <w:color w:val="000000" w:themeColor="text1"/>
        </w:rPr>
        <w:t xml:space="preserve">punto d’inizio agli apparecchi utilizzatori), secondo normativa tecnica applicabile all’impiego, quali: tubazione gas, con raccordi ed eventuali giunti, valvola con presa di pressione, rubinetti, predisposizioni edili e/o meccaniche per la ventilazione/aerazione/esalazione dei locali di installazione degli apparecchi, certificazioni di cui alla </w:t>
      </w:r>
      <w:proofErr w:type="spellStart"/>
      <w:r w:rsidRPr="0088100F">
        <w:rPr>
          <w:rFonts w:asciiTheme="minorHAnsi" w:hAnsiTheme="minorHAnsi" w:cstheme="minorHAnsi"/>
          <w:color w:val="000000" w:themeColor="text1"/>
        </w:rPr>
        <w:t>delib</w:t>
      </w:r>
      <w:proofErr w:type="spellEnd"/>
      <w:r w:rsidRPr="0088100F">
        <w:rPr>
          <w:rFonts w:asciiTheme="minorHAnsi" w:hAnsiTheme="minorHAnsi" w:cstheme="minorHAnsi"/>
          <w:color w:val="000000" w:themeColor="text1"/>
        </w:rPr>
        <w:t>. ARERA n.40/14 e linee guida C.I.G. n.1 e11.</w:t>
      </w:r>
      <w:r w:rsidRPr="0088100F">
        <w:rPr>
          <w:rFonts w:asciiTheme="minorHAnsi" w:hAnsiTheme="minorHAnsi" w:cstheme="minorHAnsi"/>
          <w:color w:val="004581"/>
        </w:rPr>
        <w:t> </w:t>
      </w:r>
    </w:p>
    <w:p w14:paraId="63F32DE1" w14:textId="4743B0F1" w:rsidR="00BE07A2" w:rsidRPr="0088100F" w:rsidRDefault="006801BE" w:rsidP="00C74DD0">
      <w:pPr>
        <w:pStyle w:val="NormaleWeb"/>
        <w:spacing w:before="180" w:beforeAutospacing="0" w:after="180" w:afterAutospacing="0" w:line="240" w:lineRule="exact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88100F">
        <w:rPr>
          <w:rFonts w:asciiTheme="minorHAnsi" w:hAnsiTheme="minorHAnsi" w:cstheme="minorHAnsi"/>
          <w:color w:val="000000" w:themeColor="text1"/>
        </w:rPr>
        <w:t>Sono inoltre inclusi i costi sostenuti per il progetto redatto da un professionista nel caso in cui la portata termica complessiva dell'impianto sia superiore a 50 Kw di potenzialità, da allegare alla documentazione di cui alla del. ARERA n.40/14</w:t>
      </w:r>
      <w:r w:rsidR="00BE07A2" w:rsidRPr="0088100F">
        <w:rPr>
          <w:rFonts w:asciiTheme="minorHAnsi" w:hAnsiTheme="minorHAnsi" w:cstheme="minorHAnsi"/>
          <w:color w:val="000000" w:themeColor="text1"/>
        </w:rPr>
        <w:t xml:space="preserve">. </w:t>
      </w:r>
    </w:p>
    <w:p w14:paraId="11328E8F" w14:textId="4495A082" w:rsidR="00BF5916" w:rsidRPr="0088100F" w:rsidRDefault="00077DA9" w:rsidP="00C74DD0">
      <w:pPr>
        <w:pStyle w:val="NormaleWeb"/>
        <w:spacing w:before="180" w:beforeAutospacing="0" w:after="180" w:afterAutospacing="0" w:line="240" w:lineRule="exact"/>
        <w:ind w:left="709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8100F">
        <w:rPr>
          <w:rFonts w:asciiTheme="minorHAnsi" w:hAnsiTheme="minorHAnsi" w:cstheme="minorHAnsi"/>
          <w:color w:val="000000" w:themeColor="text1"/>
        </w:rPr>
        <w:t xml:space="preserve">I valori massimi riconosciuti </w:t>
      </w:r>
      <w:r w:rsidR="00DE554A" w:rsidRPr="0088100F">
        <w:rPr>
          <w:rFonts w:asciiTheme="minorHAnsi" w:hAnsiTheme="minorHAnsi" w:cstheme="minorHAnsi"/>
          <w:color w:val="000000" w:themeColor="text1"/>
        </w:rPr>
        <w:t>per tipologia di costo sono specificati nell’</w:t>
      </w:r>
      <w:r w:rsidR="00DE554A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Allegato </w:t>
      </w:r>
      <w:r w:rsidR="00454202" w:rsidRPr="008810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0C1FE1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4D07E494" w14:textId="79514157" w:rsidR="00306A4C" w:rsidRPr="0088100F" w:rsidRDefault="00BF5916" w:rsidP="00C74DD0">
      <w:pPr>
        <w:pStyle w:val="NormaleWeb"/>
        <w:spacing w:before="180" w:beforeAutospacing="0" w:after="180" w:afterAutospacing="0" w:line="240" w:lineRule="exact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88100F">
        <w:rPr>
          <w:rFonts w:asciiTheme="minorHAnsi" w:hAnsiTheme="minorHAnsi" w:cstheme="minorHAnsi"/>
          <w:color w:val="000000"/>
        </w:rPr>
        <w:t xml:space="preserve">Nel caso in cui si verificassero eventuali situazioni particolari che non consentano il rispetto di tali massimali, o nel caso in cui si presenti l’esigenza di sostenere costi ulteriori per spese non riportate nella tabella inserita nell’Allegato </w:t>
      </w:r>
      <w:r w:rsidR="00F44689" w:rsidRPr="0088100F">
        <w:rPr>
          <w:rFonts w:asciiTheme="minorHAnsi" w:hAnsiTheme="minorHAnsi" w:cstheme="minorHAnsi"/>
          <w:color w:val="000000"/>
        </w:rPr>
        <w:t>2</w:t>
      </w:r>
      <w:r w:rsidRPr="0088100F">
        <w:rPr>
          <w:rFonts w:asciiTheme="minorHAnsi" w:hAnsiTheme="minorHAnsi" w:cstheme="minorHAnsi"/>
          <w:color w:val="000000"/>
        </w:rPr>
        <w:t>, la Società di Vendita potrà richiedere</w:t>
      </w:r>
      <w:r w:rsidR="001D33F0" w:rsidRPr="0088100F">
        <w:rPr>
          <w:rFonts w:asciiTheme="minorHAnsi" w:hAnsiTheme="minorHAnsi" w:cstheme="minorHAnsi"/>
          <w:color w:val="000000"/>
        </w:rPr>
        <w:t xml:space="preserve"> a Medea</w:t>
      </w:r>
      <w:r w:rsidRPr="0088100F">
        <w:rPr>
          <w:rFonts w:asciiTheme="minorHAnsi" w:hAnsiTheme="minorHAnsi" w:cstheme="minorHAnsi"/>
          <w:color w:val="000000"/>
        </w:rPr>
        <w:t xml:space="preserve"> per iscritto tramite PEC</w:t>
      </w:r>
      <w:r w:rsidR="001A6372" w:rsidRPr="0088100F">
        <w:rPr>
          <w:rFonts w:asciiTheme="minorHAnsi" w:hAnsiTheme="minorHAnsi" w:cstheme="minorHAnsi"/>
          <w:color w:val="000000"/>
        </w:rPr>
        <w:t xml:space="preserve">, inviata all’indirizzo </w:t>
      </w:r>
      <w:hyperlink r:id="rId12" w:history="1">
        <w:r w:rsidR="00AF77C2" w:rsidRPr="0088100F">
          <w:rPr>
            <w:rStyle w:val="Collegamentoipertestuale"/>
            <w:rFonts w:asciiTheme="minorHAnsi" w:hAnsiTheme="minorHAnsi" w:cstheme="minorHAnsi"/>
          </w:rPr>
          <w:t>medea@pec.italgas.it</w:t>
        </w:r>
      </w:hyperlink>
      <w:r w:rsidR="00AF77C2" w:rsidRPr="0088100F">
        <w:rPr>
          <w:rFonts w:asciiTheme="minorHAnsi" w:hAnsiTheme="minorHAnsi" w:cstheme="minorHAnsi"/>
          <w:color w:val="000000"/>
        </w:rPr>
        <w:t xml:space="preserve"> </w:t>
      </w:r>
      <w:r w:rsidRPr="0088100F">
        <w:rPr>
          <w:rFonts w:asciiTheme="minorHAnsi" w:hAnsiTheme="minorHAnsi" w:cstheme="minorHAnsi"/>
          <w:color w:val="000000"/>
        </w:rPr>
        <w:t xml:space="preserve">la possibilità di derogare ai massimali ed alle spese ivi indicate, specificando i motivi di tale richiesta e corredando la stessa degli opportuni elementi probatori. Medea, dopo aver analizzato la </w:t>
      </w:r>
      <w:r w:rsidRPr="0088100F">
        <w:rPr>
          <w:rFonts w:asciiTheme="minorHAnsi" w:hAnsiTheme="minorHAnsi" w:cstheme="minorHAnsi"/>
          <w:color w:val="000000"/>
        </w:rPr>
        <w:lastRenderedPageBreak/>
        <w:t>richiesta, potrà fornire eventuale riscontro alla Società di Vendita. In caso di mancato riscontro da parte di Medea la richiesta deve ritenersi non accettata.</w:t>
      </w:r>
    </w:p>
    <w:p w14:paraId="03340149" w14:textId="008D3782" w:rsidR="00BE07A2" w:rsidRPr="0088100F" w:rsidRDefault="00BE07A2" w:rsidP="00BA54CF">
      <w:pPr>
        <w:pStyle w:val="NormaleWeb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>Sono esclusi tutti i costi relativi all’acquisto ed all’installazione di hardware (caldaie, scalda acqua, piani cottura, termosifoni, ecc.) ed il costo relativo all’attivazione del punto di riconsegna (di seguito “</w:t>
      </w:r>
      <w:r w:rsidRPr="0088100F">
        <w:rPr>
          <w:rFonts w:asciiTheme="minorHAnsi" w:hAnsiTheme="minorHAnsi" w:cstheme="minorHAnsi"/>
          <w:b/>
          <w:bCs/>
        </w:rPr>
        <w:t>PDR</w:t>
      </w:r>
      <w:r w:rsidRPr="0088100F">
        <w:rPr>
          <w:rFonts w:asciiTheme="minorHAnsi" w:hAnsiTheme="minorHAnsi" w:cstheme="minorHAnsi"/>
        </w:rPr>
        <w:t xml:space="preserve">”), salvo eventuali ulteriori promozioni in corso. </w:t>
      </w:r>
    </w:p>
    <w:p w14:paraId="38EC50B6" w14:textId="4FA5907C" w:rsidR="001B3341" w:rsidRPr="0088100F" w:rsidRDefault="00213853" w:rsidP="00D642F3">
      <w:pPr>
        <w:pStyle w:val="NormaleWeb"/>
        <w:numPr>
          <w:ilvl w:val="0"/>
          <w:numId w:val="1"/>
        </w:numPr>
        <w:spacing w:before="180" w:beforeAutospacing="0" w:after="180" w:afterAutospacing="0" w:line="240" w:lineRule="exact"/>
        <w:jc w:val="both"/>
        <w:rPr>
          <w:rFonts w:asciiTheme="minorHAnsi" w:hAnsiTheme="minorHAnsi" w:cstheme="minorHAnsi"/>
          <w:color w:val="666666"/>
        </w:rPr>
      </w:pPr>
      <w:r w:rsidRPr="0088100F">
        <w:rPr>
          <w:rFonts w:asciiTheme="minorHAnsi" w:hAnsiTheme="minorHAnsi" w:cstheme="minorHAnsi"/>
          <w:color w:val="000000" w:themeColor="text1"/>
        </w:rPr>
        <w:t>Per ogni nuova attivazione eseguita ed esitata positivamente (stato avanzamento eseguito – ESE),</w:t>
      </w:r>
      <w:r w:rsidRPr="0088100F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88100F">
        <w:rPr>
          <w:rStyle w:val="Enfasigrassetto"/>
          <w:rFonts w:asciiTheme="minorHAnsi" w:hAnsiTheme="minorHAnsi" w:cstheme="minorHAnsi"/>
          <w:color w:val="000000" w:themeColor="text1"/>
        </w:rPr>
        <w:t>fino al 31 dicembre 2024</w:t>
      </w:r>
      <w:r w:rsidRPr="0088100F">
        <w:rPr>
          <w:rFonts w:asciiTheme="minorHAnsi" w:hAnsiTheme="minorHAnsi" w:cstheme="minorHAnsi"/>
          <w:color w:val="000000" w:themeColor="text1"/>
        </w:rPr>
        <w:t xml:space="preserve">, per la tipologia 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PDR 02 – altri usi</w:t>
      </w:r>
      <w:r w:rsidRPr="0088100F">
        <w:rPr>
          <w:rFonts w:asciiTheme="minorHAnsi" w:hAnsiTheme="minorHAnsi" w:cstheme="minorHAnsi"/>
          <w:color w:val="000000" w:themeColor="text1"/>
        </w:rPr>
        <w:t xml:space="preserve">, Medea rimborserà alle Società di Vendita richiedenti, a ristoro dei costi sostenuti per l’incentivazione dell’adeguamento o realizzazione degli impianti interni necessari per consentire l’attivazione della fornitura gas, un importo fino ad un massimo di 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1.800 €</w:t>
      </w:r>
      <w:r w:rsidRPr="0088100F">
        <w:rPr>
          <w:rFonts w:asciiTheme="minorHAnsi" w:hAnsiTheme="minorHAnsi" w:cstheme="minorHAnsi"/>
          <w:color w:val="000000" w:themeColor="text1"/>
        </w:rPr>
        <w:t xml:space="preserve"> (oltre IVA) a PDR attivato per gli interventi realizzati nei Comuni di cui all’</w:t>
      </w:r>
      <w:r w:rsidR="009D71E8" w:rsidRPr="0088100F">
        <w:rPr>
          <w:rFonts w:asciiTheme="minorHAnsi" w:hAnsiTheme="minorHAnsi" w:cstheme="minorHAnsi"/>
          <w:b/>
          <w:bCs/>
          <w:color w:val="000000" w:themeColor="text1"/>
        </w:rPr>
        <w:t>Allegato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 1,</w:t>
      </w:r>
      <w:r w:rsidRPr="0088100F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88100F">
        <w:rPr>
          <w:rFonts w:asciiTheme="minorHAnsi" w:hAnsiTheme="minorHAnsi" w:cstheme="minorHAnsi"/>
          <w:color w:val="000000" w:themeColor="text1"/>
        </w:rPr>
        <w:t>commisurati al valore dell’erogazione che la Società di Vendita avrà effettuato al cliente finale (per le sole Partite IVA), a titolo di contributo per l’esecuzione di tali lavori.</w:t>
      </w:r>
      <w:r w:rsidR="00D642F3" w:rsidRPr="0088100F">
        <w:rPr>
          <w:rFonts w:asciiTheme="minorHAnsi" w:hAnsiTheme="minorHAnsi" w:cstheme="minorHAnsi"/>
          <w:color w:val="000000" w:themeColor="text1"/>
        </w:rPr>
        <w:t xml:space="preserve"> Per il </w:t>
      </w:r>
      <w:r w:rsidR="00C73612" w:rsidRPr="0088100F">
        <w:rPr>
          <w:rFonts w:asciiTheme="minorHAnsi" w:hAnsiTheme="minorHAnsi" w:cstheme="minorHAnsi"/>
          <w:color w:val="000000" w:themeColor="text1"/>
        </w:rPr>
        <w:t xml:space="preserve">solo </w:t>
      </w:r>
      <w:r w:rsidR="00D642F3" w:rsidRPr="0088100F">
        <w:rPr>
          <w:rFonts w:asciiTheme="minorHAnsi" w:hAnsiTheme="minorHAnsi" w:cstheme="minorHAnsi"/>
          <w:b/>
          <w:bCs/>
          <w:color w:val="000000" w:themeColor="text1"/>
        </w:rPr>
        <w:t>Comune di Oristano</w:t>
      </w:r>
      <w:r w:rsidR="00D72217" w:rsidRPr="0088100F">
        <w:rPr>
          <w:rFonts w:asciiTheme="minorHAnsi" w:hAnsiTheme="minorHAnsi" w:cstheme="minorHAnsi"/>
          <w:color w:val="000000" w:themeColor="text1"/>
        </w:rPr>
        <w:t xml:space="preserve">, </w:t>
      </w:r>
      <w:r w:rsidR="00C462C3" w:rsidRPr="0088100F">
        <w:rPr>
          <w:rFonts w:asciiTheme="minorHAnsi" w:hAnsiTheme="minorHAnsi" w:cstheme="minorHAnsi"/>
          <w:color w:val="000000" w:themeColor="text1"/>
        </w:rPr>
        <w:t xml:space="preserve">Medea </w:t>
      </w:r>
      <w:r w:rsidR="0073320C" w:rsidRPr="0088100F">
        <w:rPr>
          <w:rFonts w:asciiTheme="minorHAnsi" w:hAnsiTheme="minorHAnsi" w:cstheme="minorHAnsi"/>
          <w:color w:val="000000" w:themeColor="text1"/>
        </w:rPr>
        <w:t xml:space="preserve">rimborserà </w:t>
      </w:r>
      <w:r w:rsidR="002E0088" w:rsidRPr="0088100F">
        <w:rPr>
          <w:rFonts w:asciiTheme="minorHAnsi" w:hAnsiTheme="minorHAnsi" w:cstheme="minorHAnsi"/>
          <w:color w:val="000000" w:themeColor="text1"/>
        </w:rPr>
        <w:t xml:space="preserve">alle Società di vendita richiedenti, </w:t>
      </w:r>
      <w:r w:rsidR="00D767B4" w:rsidRPr="0088100F">
        <w:rPr>
          <w:rFonts w:asciiTheme="minorHAnsi" w:hAnsiTheme="minorHAnsi" w:cstheme="minorHAnsi"/>
          <w:color w:val="000000" w:themeColor="text1"/>
        </w:rPr>
        <w:t>a PDR attivato</w:t>
      </w:r>
      <w:r w:rsidR="002E0088" w:rsidRPr="0088100F">
        <w:rPr>
          <w:rFonts w:asciiTheme="minorHAnsi" w:hAnsiTheme="minorHAnsi" w:cstheme="minorHAnsi"/>
          <w:color w:val="000000" w:themeColor="text1"/>
        </w:rPr>
        <w:t xml:space="preserve">, </w:t>
      </w:r>
      <w:r w:rsidR="004E464D" w:rsidRPr="0088100F">
        <w:rPr>
          <w:rFonts w:asciiTheme="minorHAnsi" w:hAnsiTheme="minorHAnsi" w:cstheme="minorHAnsi"/>
          <w:b/>
          <w:bCs/>
          <w:color w:val="000000" w:themeColor="text1"/>
        </w:rPr>
        <w:t>per la tipologia 02 – altri usi</w:t>
      </w:r>
      <w:r w:rsidR="0073320C" w:rsidRPr="0088100F">
        <w:rPr>
          <w:rFonts w:asciiTheme="minorHAnsi" w:hAnsiTheme="minorHAnsi" w:cstheme="minorHAnsi"/>
          <w:color w:val="000000" w:themeColor="text1"/>
        </w:rPr>
        <w:t xml:space="preserve">: </w:t>
      </w:r>
      <w:r w:rsidR="002E0088" w:rsidRPr="0088100F">
        <w:rPr>
          <w:rFonts w:asciiTheme="minorHAnsi" w:hAnsiTheme="minorHAnsi" w:cstheme="minorHAnsi"/>
          <w:color w:val="000000" w:themeColor="text1"/>
        </w:rPr>
        <w:t xml:space="preserve">un </w:t>
      </w:r>
      <w:r w:rsidR="00FC6E2E" w:rsidRPr="0088100F">
        <w:rPr>
          <w:rFonts w:asciiTheme="minorHAnsi" w:hAnsiTheme="minorHAnsi" w:cstheme="minorHAnsi"/>
          <w:color w:val="000000" w:themeColor="text1"/>
        </w:rPr>
        <w:t>importo fino</w:t>
      </w:r>
      <w:r w:rsidR="002E0088" w:rsidRPr="0088100F">
        <w:rPr>
          <w:rFonts w:asciiTheme="minorHAnsi" w:hAnsiTheme="minorHAnsi" w:cstheme="minorHAnsi"/>
          <w:color w:val="000000" w:themeColor="text1"/>
        </w:rPr>
        <w:t xml:space="preserve"> ad un massimo di </w:t>
      </w:r>
      <w:r w:rsidR="002E0088" w:rsidRPr="0088100F">
        <w:rPr>
          <w:rFonts w:asciiTheme="minorHAnsi" w:hAnsiTheme="minorHAnsi" w:cstheme="minorHAnsi"/>
          <w:b/>
          <w:bCs/>
          <w:color w:val="000000" w:themeColor="text1"/>
        </w:rPr>
        <w:t>250 €</w:t>
      </w:r>
      <w:r w:rsidR="00951C1D" w:rsidRPr="0088100F">
        <w:rPr>
          <w:rFonts w:asciiTheme="minorHAnsi" w:hAnsiTheme="minorHAnsi" w:cstheme="minorHAnsi"/>
          <w:color w:val="000000" w:themeColor="text1"/>
        </w:rPr>
        <w:t xml:space="preserve"> (oltre IVA)</w:t>
      </w:r>
      <w:r w:rsidR="003B2B23" w:rsidRPr="0088100F">
        <w:rPr>
          <w:rFonts w:asciiTheme="minorHAnsi" w:hAnsiTheme="minorHAnsi" w:cstheme="minorHAnsi"/>
          <w:color w:val="000000" w:themeColor="text1"/>
        </w:rPr>
        <w:t xml:space="preserve">, </w:t>
      </w:r>
      <w:r w:rsidR="002B0C86" w:rsidRPr="0088100F">
        <w:rPr>
          <w:rFonts w:asciiTheme="minorHAnsi" w:hAnsiTheme="minorHAnsi" w:cstheme="minorHAnsi"/>
          <w:color w:val="000000" w:themeColor="text1"/>
        </w:rPr>
        <w:t>per ogni PDR</w:t>
      </w:r>
      <w:r w:rsidR="00F44689" w:rsidRPr="0088100F">
        <w:rPr>
          <w:rFonts w:asciiTheme="minorHAnsi" w:hAnsiTheme="minorHAnsi" w:cstheme="minorHAnsi"/>
          <w:color w:val="000000" w:themeColor="text1"/>
        </w:rPr>
        <w:t>,</w:t>
      </w:r>
      <w:r w:rsidR="00C01461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="00DF17F4" w:rsidRPr="0088100F">
        <w:rPr>
          <w:rFonts w:asciiTheme="minorHAnsi" w:hAnsiTheme="minorHAnsi" w:cstheme="minorHAnsi"/>
          <w:color w:val="000000" w:themeColor="text1"/>
        </w:rPr>
        <w:t xml:space="preserve">alimentato ad aria </w:t>
      </w:r>
      <w:proofErr w:type="spellStart"/>
      <w:r w:rsidR="00DF17F4" w:rsidRPr="0088100F">
        <w:rPr>
          <w:rFonts w:asciiTheme="minorHAnsi" w:hAnsiTheme="minorHAnsi" w:cstheme="minorHAnsi"/>
          <w:color w:val="000000" w:themeColor="text1"/>
        </w:rPr>
        <w:t>propanata</w:t>
      </w:r>
      <w:proofErr w:type="spellEnd"/>
      <w:r w:rsidR="00DF17F4" w:rsidRPr="0088100F">
        <w:rPr>
          <w:rFonts w:asciiTheme="minorHAnsi" w:hAnsiTheme="minorHAnsi" w:cstheme="minorHAnsi"/>
          <w:color w:val="000000" w:themeColor="text1"/>
        </w:rPr>
        <w:t xml:space="preserve"> e</w:t>
      </w:r>
      <w:r w:rsidR="00F44689" w:rsidRPr="0088100F">
        <w:rPr>
          <w:rFonts w:asciiTheme="minorHAnsi" w:hAnsiTheme="minorHAnsi" w:cstheme="minorHAnsi"/>
          <w:color w:val="000000" w:themeColor="text1"/>
        </w:rPr>
        <w:t>d</w:t>
      </w:r>
      <w:r w:rsidR="002B0C86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="005772B2" w:rsidRPr="0088100F">
        <w:rPr>
          <w:rFonts w:asciiTheme="minorHAnsi" w:hAnsiTheme="minorHAnsi" w:cstheme="minorHAnsi"/>
          <w:color w:val="000000" w:themeColor="text1"/>
          <w:u w:val="single"/>
        </w:rPr>
        <w:t>incluso</w:t>
      </w:r>
      <w:r w:rsidR="003E6E6B" w:rsidRPr="0088100F">
        <w:rPr>
          <w:rFonts w:asciiTheme="minorHAnsi" w:hAnsiTheme="minorHAnsi" w:cstheme="minorHAnsi"/>
          <w:color w:val="000000" w:themeColor="text1"/>
        </w:rPr>
        <w:t xml:space="preserve"> nell’elenco di cui </w:t>
      </w:r>
      <w:r w:rsidR="003E6E6B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all’Allegato </w:t>
      </w:r>
      <w:r w:rsidR="00454202" w:rsidRPr="0088100F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F2000F" w:rsidRPr="0088100F">
        <w:rPr>
          <w:rFonts w:asciiTheme="minorHAnsi" w:hAnsiTheme="minorHAnsi" w:cstheme="minorHAnsi"/>
          <w:color w:val="000000" w:themeColor="text1"/>
        </w:rPr>
        <w:t xml:space="preserve">, </w:t>
      </w:r>
      <w:r w:rsidR="000A46F1" w:rsidRPr="0088100F">
        <w:rPr>
          <w:rFonts w:asciiTheme="minorHAnsi" w:hAnsiTheme="minorHAnsi" w:cstheme="minorHAnsi"/>
          <w:color w:val="000000" w:themeColor="text1"/>
        </w:rPr>
        <w:t xml:space="preserve">a ristoro dei costi sostenuti per l’incentivazione dell’adeguamento degli impianti interni necessari per consentire l’attivazione della fornitura </w:t>
      </w:r>
      <w:r w:rsidR="00F44689" w:rsidRPr="0088100F">
        <w:rPr>
          <w:rFonts w:asciiTheme="minorHAnsi" w:hAnsiTheme="minorHAnsi" w:cstheme="minorHAnsi"/>
          <w:color w:val="000000" w:themeColor="text1"/>
        </w:rPr>
        <w:t>a metano</w:t>
      </w:r>
      <w:r w:rsidR="000A46F1" w:rsidRPr="0088100F">
        <w:rPr>
          <w:rFonts w:asciiTheme="minorHAnsi" w:hAnsiTheme="minorHAnsi" w:cstheme="minorHAnsi"/>
          <w:color w:val="000000" w:themeColor="text1"/>
        </w:rPr>
        <w:t xml:space="preserve">; </w:t>
      </w:r>
      <w:r w:rsidR="00C51D8C" w:rsidRPr="0088100F">
        <w:rPr>
          <w:rFonts w:asciiTheme="minorHAnsi" w:hAnsiTheme="minorHAnsi" w:cstheme="minorHAnsi"/>
          <w:color w:val="000000" w:themeColor="text1"/>
        </w:rPr>
        <w:t xml:space="preserve">un importo fino ad un massimo di </w:t>
      </w:r>
      <w:r w:rsidR="00C51D8C" w:rsidRPr="0088100F">
        <w:rPr>
          <w:rFonts w:asciiTheme="minorHAnsi" w:hAnsiTheme="minorHAnsi" w:cstheme="minorHAnsi"/>
          <w:b/>
          <w:bCs/>
          <w:color w:val="000000" w:themeColor="text1"/>
        </w:rPr>
        <w:t>1.800 €</w:t>
      </w:r>
      <w:r w:rsidR="00C51D8C" w:rsidRPr="0088100F">
        <w:rPr>
          <w:rFonts w:asciiTheme="minorHAnsi" w:hAnsiTheme="minorHAnsi" w:cstheme="minorHAnsi"/>
          <w:color w:val="000000" w:themeColor="text1"/>
        </w:rPr>
        <w:t xml:space="preserve"> (oltre IVA), per ogni PDR</w:t>
      </w:r>
      <w:r w:rsidR="00DF17F4" w:rsidRPr="0088100F">
        <w:rPr>
          <w:rFonts w:asciiTheme="minorHAnsi" w:hAnsiTheme="minorHAnsi" w:cstheme="minorHAnsi"/>
          <w:color w:val="000000" w:themeColor="text1"/>
        </w:rPr>
        <w:t xml:space="preserve">, alimentato a gas </w:t>
      </w:r>
      <w:r w:rsidR="00F2000F" w:rsidRPr="0088100F">
        <w:rPr>
          <w:rFonts w:asciiTheme="minorHAnsi" w:hAnsiTheme="minorHAnsi" w:cstheme="minorHAnsi"/>
          <w:color w:val="000000" w:themeColor="text1"/>
        </w:rPr>
        <w:t xml:space="preserve"> e</w:t>
      </w:r>
      <w:r w:rsidR="00C51D8C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="00C51D8C" w:rsidRPr="0088100F">
        <w:rPr>
          <w:rFonts w:asciiTheme="minorHAnsi" w:hAnsiTheme="minorHAnsi" w:cstheme="minorHAnsi"/>
          <w:color w:val="000000" w:themeColor="text1"/>
          <w:u w:val="single"/>
        </w:rPr>
        <w:t>non incluso</w:t>
      </w:r>
      <w:r w:rsidR="00C51D8C" w:rsidRPr="0088100F">
        <w:rPr>
          <w:rFonts w:asciiTheme="minorHAnsi" w:hAnsiTheme="minorHAnsi" w:cstheme="minorHAnsi"/>
          <w:color w:val="000000" w:themeColor="text1"/>
        </w:rPr>
        <w:t xml:space="preserve"> nell’elenco di cui </w:t>
      </w:r>
      <w:r w:rsidR="00C51D8C" w:rsidRPr="0088100F">
        <w:rPr>
          <w:rFonts w:asciiTheme="minorHAnsi" w:hAnsiTheme="minorHAnsi" w:cstheme="minorHAnsi"/>
          <w:b/>
          <w:bCs/>
          <w:color w:val="000000" w:themeColor="text1"/>
        </w:rPr>
        <w:t>all’Allegato 3</w:t>
      </w:r>
      <w:r w:rsidR="00F2000F" w:rsidRPr="0088100F">
        <w:rPr>
          <w:rFonts w:asciiTheme="minorHAnsi" w:hAnsiTheme="minorHAnsi" w:cstheme="minorHAnsi"/>
          <w:color w:val="000000" w:themeColor="text1"/>
        </w:rPr>
        <w:t xml:space="preserve">, </w:t>
      </w:r>
      <w:r w:rsidR="00C51D8C" w:rsidRPr="0088100F">
        <w:rPr>
          <w:rFonts w:asciiTheme="minorHAnsi" w:hAnsiTheme="minorHAnsi" w:cstheme="minorHAnsi"/>
          <w:color w:val="000000" w:themeColor="text1"/>
        </w:rPr>
        <w:t>a ristoro dei costi sostenuti per l’incentivazione dell</w:t>
      </w:r>
      <w:r w:rsidR="00E05031" w:rsidRPr="0088100F">
        <w:rPr>
          <w:rFonts w:asciiTheme="minorHAnsi" w:hAnsiTheme="minorHAnsi" w:cstheme="minorHAnsi"/>
          <w:color w:val="000000" w:themeColor="text1"/>
        </w:rPr>
        <w:t>a realizzazione</w:t>
      </w:r>
      <w:r w:rsidR="00C51D8C" w:rsidRPr="0088100F">
        <w:rPr>
          <w:rFonts w:asciiTheme="minorHAnsi" w:hAnsiTheme="minorHAnsi" w:cstheme="minorHAnsi"/>
          <w:color w:val="000000" w:themeColor="text1"/>
        </w:rPr>
        <w:t xml:space="preserve"> degli impianti interni necessari per consentire l’attivazione della fornitura gas</w:t>
      </w:r>
      <w:r w:rsidR="00E05031" w:rsidRPr="0088100F">
        <w:rPr>
          <w:rFonts w:asciiTheme="minorHAnsi" w:hAnsiTheme="minorHAnsi" w:cstheme="minorHAnsi"/>
          <w:color w:val="000000" w:themeColor="text1"/>
        </w:rPr>
        <w:t>.</w:t>
      </w:r>
    </w:p>
    <w:p w14:paraId="76500E1B" w14:textId="29329A37" w:rsidR="00602A3E" w:rsidRPr="0088100F" w:rsidRDefault="00602A3E" w:rsidP="00BA54CF">
      <w:pPr>
        <w:pStyle w:val="NormaleWeb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color w:val="000000" w:themeColor="text1"/>
        </w:rPr>
      </w:pPr>
      <w:r w:rsidRPr="0088100F">
        <w:rPr>
          <w:rFonts w:asciiTheme="minorHAnsi" w:hAnsiTheme="minorHAnsi" w:cstheme="minorHAnsi"/>
          <w:color w:val="000000" w:themeColor="text1"/>
        </w:rPr>
        <w:t>Per ogni nuova attivazione eseguita ed esitata positivamente (stato avanzamento eseguito – ESE),</w:t>
      </w:r>
      <w:r w:rsidRPr="0088100F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88100F">
        <w:rPr>
          <w:rStyle w:val="Enfasigrassetto"/>
          <w:rFonts w:asciiTheme="minorHAnsi" w:hAnsiTheme="minorHAnsi" w:cstheme="minorHAnsi"/>
          <w:color w:val="000000" w:themeColor="text1"/>
        </w:rPr>
        <w:t>fino al 31 dicembre 2024</w:t>
      </w:r>
      <w:r w:rsidRPr="0088100F">
        <w:rPr>
          <w:rFonts w:asciiTheme="minorHAnsi" w:hAnsiTheme="minorHAnsi" w:cstheme="minorHAnsi"/>
          <w:color w:val="000000" w:themeColor="text1"/>
        </w:rPr>
        <w:t xml:space="preserve">, per le tipologie di 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PDR 00 – utenze domestiche</w:t>
      </w:r>
      <w:r w:rsidR="005747FC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01 – condomini</w:t>
      </w:r>
      <w:r w:rsidR="005747FC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97002" w:rsidRPr="0088100F">
        <w:rPr>
          <w:rFonts w:asciiTheme="minorHAnsi" w:hAnsiTheme="minorHAnsi" w:cstheme="minorHAnsi"/>
          <w:b/>
          <w:bCs/>
          <w:color w:val="000000" w:themeColor="text1"/>
        </w:rPr>
        <w:t>e 03</w:t>
      </w:r>
      <w:r w:rsidR="002639A0"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635CF" w:rsidRPr="0088100F">
        <w:rPr>
          <w:rFonts w:asciiTheme="minorHAnsi" w:hAnsiTheme="minorHAnsi" w:cstheme="minorHAnsi"/>
          <w:b/>
          <w:bCs/>
          <w:color w:val="000000" w:themeColor="text1"/>
        </w:rPr>
        <w:t>– servizio pubblico,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88100F">
        <w:rPr>
          <w:rFonts w:asciiTheme="minorHAnsi" w:hAnsiTheme="minorHAnsi" w:cstheme="minorHAnsi"/>
          <w:color w:val="000000" w:themeColor="text1"/>
        </w:rPr>
        <w:t xml:space="preserve">Medea rimborserà alle Società di Vendita richiedenti, a ristoro dei costi sostenuti per l’incentivazione dell’adeguamento o realizzazione degli impianti interni necessari per consentire l’attivazione della fornitura gas, un importo fino ad un massimo di 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1.500 €</w:t>
      </w:r>
      <w:r w:rsidRPr="0088100F">
        <w:rPr>
          <w:rFonts w:asciiTheme="minorHAnsi" w:hAnsiTheme="minorHAnsi" w:cstheme="minorHAnsi"/>
          <w:color w:val="000000" w:themeColor="text1"/>
        </w:rPr>
        <w:t xml:space="preserve"> (oltre IVA) a PDR attivato, per gli interventi realizzati nei Comuni di cui all’</w:t>
      </w:r>
      <w:r w:rsidR="005635CF" w:rsidRPr="0088100F">
        <w:rPr>
          <w:rFonts w:asciiTheme="minorHAnsi" w:hAnsiTheme="minorHAnsi" w:cstheme="minorHAnsi"/>
          <w:b/>
          <w:bCs/>
          <w:color w:val="000000" w:themeColor="text1"/>
        </w:rPr>
        <w:t>Allegat</w:t>
      </w:r>
      <w:r w:rsidRPr="0088100F">
        <w:rPr>
          <w:rFonts w:asciiTheme="minorHAnsi" w:hAnsiTheme="minorHAnsi" w:cstheme="minorHAnsi"/>
          <w:b/>
          <w:bCs/>
          <w:color w:val="000000" w:themeColor="text1"/>
        </w:rPr>
        <w:t>o 1,</w:t>
      </w:r>
      <w:r w:rsidRPr="0088100F">
        <w:rPr>
          <w:rFonts w:asciiTheme="minorHAnsi" w:hAnsiTheme="minorHAnsi" w:cstheme="minorHAnsi"/>
          <w:color w:val="000000" w:themeColor="text1"/>
        </w:rPr>
        <w:t xml:space="preserve"> commisurati al valore dell’erogazione che la Società di Vendita avrà effettuato al cliente finale (residenziali e P.IVA), a titolo di contributo per l’esecuzione di tali lavori</w:t>
      </w:r>
      <w:r w:rsidR="00B24655" w:rsidRPr="0088100F">
        <w:rPr>
          <w:rFonts w:asciiTheme="minorHAnsi" w:hAnsiTheme="minorHAnsi" w:cstheme="minorHAnsi"/>
          <w:color w:val="000000" w:themeColor="text1"/>
        </w:rPr>
        <w:t>.</w:t>
      </w:r>
      <w:r w:rsidR="00F2000F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Per il solo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Comune di Oristano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, Medea rimborserà alle Società di vendita richiedenti, a PDR attivato,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per le tipologia 00 – utenze domestiche, 01 – condomini e 03 – servizio pubblico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: un importo fino ad un massimo di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250 €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 (oltre IVA), per ogni PDR, alimentato ad aria </w:t>
      </w:r>
      <w:proofErr w:type="spellStart"/>
      <w:r w:rsidR="008C7777" w:rsidRPr="0088100F">
        <w:rPr>
          <w:rFonts w:asciiTheme="minorHAnsi" w:hAnsiTheme="minorHAnsi" w:cstheme="minorHAnsi"/>
          <w:color w:val="000000" w:themeColor="text1"/>
        </w:rPr>
        <w:t>propanata</w:t>
      </w:r>
      <w:proofErr w:type="spellEnd"/>
      <w:r w:rsidR="008C7777" w:rsidRPr="0088100F">
        <w:rPr>
          <w:rFonts w:asciiTheme="minorHAnsi" w:hAnsiTheme="minorHAnsi" w:cstheme="minorHAnsi"/>
          <w:color w:val="000000" w:themeColor="text1"/>
        </w:rPr>
        <w:t xml:space="preserve"> e</w:t>
      </w:r>
      <w:r w:rsidR="00F44689" w:rsidRPr="0088100F">
        <w:rPr>
          <w:rFonts w:asciiTheme="minorHAnsi" w:hAnsiTheme="minorHAnsi" w:cstheme="minorHAnsi"/>
          <w:color w:val="000000" w:themeColor="text1"/>
        </w:rPr>
        <w:t>d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 </w:t>
      </w:r>
      <w:r w:rsidR="008C7777" w:rsidRPr="0088100F">
        <w:rPr>
          <w:rFonts w:asciiTheme="minorHAnsi" w:hAnsiTheme="minorHAnsi" w:cstheme="minorHAnsi"/>
          <w:color w:val="000000" w:themeColor="text1"/>
          <w:u w:val="single"/>
        </w:rPr>
        <w:t>incluso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 nell’elenco di cui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all’Allegato 3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, a ristoro dei costi sostenuti per l’incentivazione dell’adeguamento degli impianti interni necessari per consentire l’attivazione della fornitura </w:t>
      </w:r>
      <w:r w:rsidR="00F44689" w:rsidRPr="0088100F">
        <w:rPr>
          <w:rFonts w:asciiTheme="minorHAnsi" w:hAnsiTheme="minorHAnsi" w:cstheme="minorHAnsi"/>
          <w:color w:val="000000" w:themeColor="text1"/>
        </w:rPr>
        <w:t>a metano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; un importo fino ad un massimo di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1.500 €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 (oltre IVA), per ogni PDR, alimentato a gas e </w:t>
      </w:r>
      <w:r w:rsidR="008C7777" w:rsidRPr="0088100F">
        <w:rPr>
          <w:rFonts w:asciiTheme="minorHAnsi" w:hAnsiTheme="minorHAnsi" w:cstheme="minorHAnsi"/>
          <w:color w:val="000000" w:themeColor="text1"/>
          <w:u w:val="single"/>
        </w:rPr>
        <w:t>non incluso</w:t>
      </w:r>
      <w:r w:rsidR="008C7777" w:rsidRPr="0088100F">
        <w:rPr>
          <w:rFonts w:asciiTheme="minorHAnsi" w:hAnsiTheme="minorHAnsi" w:cstheme="minorHAnsi"/>
          <w:color w:val="000000" w:themeColor="text1"/>
        </w:rPr>
        <w:t xml:space="preserve"> nell’elenco di cui </w:t>
      </w:r>
      <w:r w:rsidR="008C7777" w:rsidRPr="0088100F">
        <w:rPr>
          <w:rFonts w:asciiTheme="minorHAnsi" w:hAnsiTheme="minorHAnsi" w:cstheme="minorHAnsi"/>
          <w:b/>
          <w:bCs/>
          <w:color w:val="000000" w:themeColor="text1"/>
        </w:rPr>
        <w:t>all’Allegato 3</w:t>
      </w:r>
      <w:r w:rsidR="008C7777" w:rsidRPr="0088100F">
        <w:rPr>
          <w:rFonts w:asciiTheme="minorHAnsi" w:hAnsiTheme="minorHAnsi" w:cstheme="minorHAnsi"/>
          <w:color w:val="000000" w:themeColor="text1"/>
        </w:rPr>
        <w:t>, a ristoro dei costi sostenuti per l’incentivazione della realizzazione degli impianti interni necessari per consentire l’attivazione della fornitura gas.</w:t>
      </w:r>
    </w:p>
    <w:p w14:paraId="0B0CBB50" w14:textId="57179F58" w:rsidR="00F94E79" w:rsidRPr="0088100F" w:rsidRDefault="00BE07A2" w:rsidP="00916719">
      <w:pPr>
        <w:pStyle w:val="NormaleWeb"/>
        <w:numPr>
          <w:ilvl w:val="0"/>
          <w:numId w:val="1"/>
        </w:numPr>
        <w:spacing w:before="180" w:beforeAutospacing="0" w:after="18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In aggiunta </w:t>
      </w:r>
      <w:r w:rsidR="00596D48" w:rsidRPr="0088100F">
        <w:rPr>
          <w:rFonts w:asciiTheme="minorHAnsi" w:hAnsiTheme="minorHAnsi" w:cstheme="minorHAnsi"/>
        </w:rPr>
        <w:t>agli importi previsti nei punti iii</w:t>
      </w:r>
      <w:r w:rsidR="00951118" w:rsidRPr="0088100F">
        <w:rPr>
          <w:rFonts w:asciiTheme="minorHAnsi" w:hAnsiTheme="minorHAnsi" w:cstheme="minorHAnsi"/>
        </w:rPr>
        <w:t xml:space="preserve">), iv), </w:t>
      </w:r>
      <w:r w:rsidRPr="0088100F">
        <w:rPr>
          <w:rFonts w:asciiTheme="minorHAnsi" w:hAnsiTheme="minorHAnsi" w:cstheme="minorHAnsi"/>
        </w:rPr>
        <w:t>Medea  rimborserà alla Società di Vendita anche i costi relativi alla successiva verifica, su richiesta di Medea ed eseguita dalla Società di Vendita, circa la congruità dell’Intervento ai sensi del successivo art. x</w:t>
      </w:r>
      <w:r w:rsidR="002D0F8F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n. (ii), dei quali costi le Parti ne concordano l’ammontare in una somma forfettaria </w:t>
      </w:r>
      <w:r w:rsidR="00E228AB" w:rsidRPr="0088100F">
        <w:rPr>
          <w:rFonts w:asciiTheme="minorHAnsi" w:hAnsiTheme="minorHAnsi" w:cstheme="minorHAnsi"/>
        </w:rPr>
        <w:t xml:space="preserve">massima </w:t>
      </w:r>
      <w:r w:rsidRPr="0088100F">
        <w:rPr>
          <w:rFonts w:asciiTheme="minorHAnsi" w:hAnsiTheme="minorHAnsi" w:cstheme="minorHAnsi"/>
        </w:rPr>
        <w:t xml:space="preserve">pari, e in ogni caso non eccedente, a </w:t>
      </w:r>
      <w:r w:rsidR="007124CB" w:rsidRPr="0088100F">
        <w:rPr>
          <w:rFonts w:asciiTheme="minorHAnsi" w:hAnsiTheme="minorHAnsi" w:cstheme="minorHAnsi"/>
        </w:rPr>
        <w:t>80,00</w:t>
      </w:r>
      <w:r w:rsidR="00143459" w:rsidRPr="0088100F">
        <w:rPr>
          <w:rFonts w:asciiTheme="minorHAnsi" w:hAnsiTheme="minorHAnsi" w:cstheme="minorHAnsi"/>
        </w:rPr>
        <w:t xml:space="preserve"> €</w:t>
      </w:r>
      <w:r w:rsidRPr="0088100F">
        <w:rPr>
          <w:rFonts w:asciiTheme="minorHAnsi" w:hAnsiTheme="minorHAnsi" w:cstheme="minorHAnsi"/>
        </w:rPr>
        <w:t xml:space="preserve"> </w:t>
      </w:r>
      <w:r w:rsidR="005635CF" w:rsidRPr="0088100F">
        <w:rPr>
          <w:rFonts w:asciiTheme="minorHAnsi" w:hAnsiTheme="minorHAnsi" w:cstheme="minorHAnsi"/>
        </w:rPr>
        <w:t xml:space="preserve">(oltre IVA) </w:t>
      </w:r>
      <w:r w:rsidRPr="0088100F">
        <w:rPr>
          <w:rFonts w:asciiTheme="minorHAnsi" w:hAnsiTheme="minorHAnsi" w:cstheme="minorHAnsi"/>
        </w:rPr>
        <w:t xml:space="preserve">per ogni </w:t>
      </w:r>
      <w:r w:rsidR="00501222" w:rsidRPr="0088100F">
        <w:rPr>
          <w:rFonts w:asciiTheme="minorHAnsi" w:hAnsiTheme="minorHAnsi" w:cstheme="minorHAnsi"/>
        </w:rPr>
        <w:t>PDR</w:t>
      </w:r>
      <w:r w:rsidRPr="0088100F">
        <w:rPr>
          <w:rFonts w:asciiTheme="minorHAnsi" w:hAnsiTheme="minorHAnsi" w:cstheme="minorHAnsi"/>
        </w:rPr>
        <w:t xml:space="preserve"> verificato (di seguito il “</w:t>
      </w:r>
      <w:r w:rsidRPr="0088100F">
        <w:rPr>
          <w:rFonts w:asciiTheme="minorHAnsi" w:hAnsiTheme="minorHAnsi" w:cstheme="minorHAnsi"/>
          <w:b/>
          <w:bCs/>
        </w:rPr>
        <w:t>Rimborso di Verifica Impianti</w:t>
      </w:r>
      <w:r w:rsidRPr="0088100F">
        <w:rPr>
          <w:rFonts w:asciiTheme="minorHAnsi" w:hAnsiTheme="minorHAnsi" w:cstheme="minorHAnsi"/>
        </w:rPr>
        <w:t xml:space="preserve">”), comprensiva della quota pari a </w:t>
      </w:r>
      <w:r w:rsidR="009A11C6" w:rsidRPr="0088100F">
        <w:rPr>
          <w:rFonts w:asciiTheme="minorHAnsi" w:hAnsiTheme="minorHAnsi" w:cstheme="minorHAnsi"/>
        </w:rPr>
        <w:t>65</w:t>
      </w:r>
      <w:r w:rsidRPr="0088100F">
        <w:rPr>
          <w:rFonts w:asciiTheme="minorHAnsi" w:hAnsiTheme="minorHAnsi" w:cstheme="minorHAnsi"/>
        </w:rPr>
        <w:t xml:space="preserve"> </w:t>
      </w:r>
      <w:r w:rsidR="005635CF" w:rsidRPr="0088100F">
        <w:rPr>
          <w:rFonts w:asciiTheme="minorHAnsi" w:hAnsiTheme="minorHAnsi" w:cstheme="minorHAnsi"/>
        </w:rPr>
        <w:t xml:space="preserve">€ </w:t>
      </w:r>
      <w:r w:rsidR="00EA1A82" w:rsidRPr="0088100F">
        <w:rPr>
          <w:rFonts w:asciiTheme="minorHAnsi" w:hAnsiTheme="minorHAnsi" w:cstheme="minorHAnsi"/>
        </w:rPr>
        <w:t xml:space="preserve">(oltre IVA) </w:t>
      </w:r>
      <w:r w:rsidRPr="0088100F">
        <w:rPr>
          <w:rFonts w:asciiTheme="minorHAnsi" w:hAnsiTheme="minorHAnsi" w:cstheme="minorHAnsi"/>
        </w:rPr>
        <w:t xml:space="preserve">relativa all’attività di sopralluogo e </w:t>
      </w:r>
      <w:r w:rsidR="007124CB" w:rsidRPr="0088100F">
        <w:rPr>
          <w:rFonts w:asciiTheme="minorHAnsi" w:hAnsiTheme="minorHAnsi" w:cstheme="minorHAnsi"/>
        </w:rPr>
        <w:t>15,00</w:t>
      </w:r>
      <w:r w:rsidRPr="0088100F">
        <w:rPr>
          <w:rFonts w:asciiTheme="minorHAnsi" w:hAnsiTheme="minorHAnsi" w:cstheme="minorHAnsi"/>
        </w:rPr>
        <w:t xml:space="preserve"> </w:t>
      </w:r>
      <w:r w:rsidR="00707AB9" w:rsidRPr="0088100F">
        <w:rPr>
          <w:rFonts w:asciiTheme="minorHAnsi" w:hAnsiTheme="minorHAnsi" w:cstheme="minorHAnsi"/>
        </w:rPr>
        <w:t xml:space="preserve">€ </w:t>
      </w:r>
      <w:r w:rsidR="00EA1A82" w:rsidRPr="0088100F">
        <w:rPr>
          <w:rFonts w:asciiTheme="minorHAnsi" w:hAnsiTheme="minorHAnsi" w:cstheme="minorHAnsi"/>
        </w:rPr>
        <w:t xml:space="preserve">(oltre IVA) </w:t>
      </w:r>
      <w:r w:rsidRPr="0088100F">
        <w:rPr>
          <w:rFonts w:asciiTheme="minorHAnsi" w:hAnsiTheme="minorHAnsi" w:cstheme="minorHAnsi"/>
        </w:rPr>
        <w:t xml:space="preserve">della quota relativa alla gestione contrattuale del fornitore che effettua l’attività di verifica. </w:t>
      </w:r>
    </w:p>
    <w:p w14:paraId="75BBFD12" w14:textId="2799BFE8" w:rsidR="00F94E79" w:rsidRPr="0088100F" w:rsidRDefault="00BE07A2" w:rsidP="00982E7A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lastRenderedPageBreak/>
        <w:t xml:space="preserve">Ove il valore dell’Intervento fosse superiore a </w:t>
      </w:r>
      <w:r w:rsidR="00B12E03" w:rsidRPr="0088100F">
        <w:rPr>
          <w:rFonts w:asciiTheme="minorHAnsi" w:hAnsiTheme="minorHAnsi" w:cstheme="minorHAnsi"/>
        </w:rPr>
        <w:t>1.800</w:t>
      </w:r>
      <w:r w:rsidR="00143459" w:rsidRPr="0088100F">
        <w:rPr>
          <w:rFonts w:asciiTheme="minorHAnsi" w:hAnsiTheme="minorHAnsi" w:cstheme="minorHAnsi"/>
        </w:rPr>
        <w:t xml:space="preserve"> </w:t>
      </w:r>
      <w:r w:rsidR="00707AB9" w:rsidRPr="0088100F">
        <w:rPr>
          <w:rFonts w:asciiTheme="minorHAnsi" w:hAnsiTheme="minorHAnsi" w:cstheme="minorHAnsi"/>
        </w:rPr>
        <w:t xml:space="preserve">€ </w:t>
      </w:r>
      <w:r w:rsidR="00392B9B" w:rsidRPr="0088100F">
        <w:rPr>
          <w:rFonts w:asciiTheme="minorHAnsi" w:hAnsiTheme="minorHAnsi" w:cstheme="minorHAnsi"/>
        </w:rPr>
        <w:t xml:space="preserve">per </w:t>
      </w:r>
      <w:r w:rsidR="009C787E" w:rsidRPr="0088100F">
        <w:rPr>
          <w:rFonts w:asciiTheme="minorHAnsi" w:hAnsiTheme="minorHAnsi" w:cstheme="minorHAnsi"/>
        </w:rPr>
        <w:t>le</w:t>
      </w:r>
      <w:r w:rsidR="00392B9B" w:rsidRPr="0088100F">
        <w:rPr>
          <w:rFonts w:asciiTheme="minorHAnsi" w:hAnsiTheme="minorHAnsi" w:cstheme="minorHAnsi"/>
        </w:rPr>
        <w:t xml:space="preserve"> tipologi</w:t>
      </w:r>
      <w:r w:rsidR="009C787E" w:rsidRPr="0088100F">
        <w:rPr>
          <w:rFonts w:asciiTheme="minorHAnsi" w:hAnsiTheme="minorHAnsi" w:cstheme="minorHAnsi"/>
        </w:rPr>
        <w:t>e</w:t>
      </w:r>
      <w:r w:rsidR="00392B9B" w:rsidRPr="0088100F">
        <w:rPr>
          <w:rFonts w:asciiTheme="minorHAnsi" w:hAnsiTheme="minorHAnsi" w:cstheme="minorHAnsi"/>
        </w:rPr>
        <w:t xml:space="preserve"> PDR </w:t>
      </w:r>
      <w:r w:rsidR="00D42097" w:rsidRPr="0088100F">
        <w:rPr>
          <w:rFonts w:asciiTheme="minorHAnsi" w:hAnsiTheme="minorHAnsi" w:cstheme="minorHAnsi"/>
        </w:rPr>
        <w:t>02</w:t>
      </w:r>
      <w:r w:rsidR="00390A24" w:rsidRPr="0088100F">
        <w:rPr>
          <w:rFonts w:asciiTheme="minorHAnsi" w:hAnsiTheme="minorHAnsi" w:cstheme="minorHAnsi"/>
        </w:rPr>
        <w:t>,</w:t>
      </w:r>
      <w:r w:rsidR="00D42097" w:rsidRPr="0088100F">
        <w:rPr>
          <w:rFonts w:asciiTheme="minorHAnsi" w:hAnsiTheme="minorHAnsi" w:cstheme="minorHAnsi"/>
        </w:rPr>
        <w:t xml:space="preserve"> </w:t>
      </w:r>
      <w:r w:rsidR="00DB700E" w:rsidRPr="0088100F">
        <w:rPr>
          <w:rFonts w:asciiTheme="minorHAnsi" w:hAnsiTheme="minorHAnsi" w:cstheme="minorHAnsi"/>
        </w:rPr>
        <w:t xml:space="preserve">a </w:t>
      </w:r>
      <w:r w:rsidRPr="0088100F">
        <w:rPr>
          <w:rFonts w:asciiTheme="minorHAnsi" w:hAnsiTheme="minorHAnsi" w:cstheme="minorHAnsi"/>
        </w:rPr>
        <w:t xml:space="preserve">1.500 € per gli interventi </w:t>
      </w:r>
      <w:r w:rsidR="00FB629D" w:rsidRPr="0088100F">
        <w:rPr>
          <w:rFonts w:asciiTheme="minorHAnsi" w:hAnsiTheme="minorHAnsi" w:cstheme="minorHAnsi"/>
        </w:rPr>
        <w:t xml:space="preserve">con tipologia PDR </w:t>
      </w:r>
      <w:r w:rsidR="007B7822" w:rsidRPr="0088100F">
        <w:rPr>
          <w:rFonts w:asciiTheme="minorHAnsi" w:hAnsiTheme="minorHAnsi" w:cstheme="minorHAnsi"/>
        </w:rPr>
        <w:t xml:space="preserve">00, 01 e 03, </w:t>
      </w:r>
      <w:r w:rsidR="00C10676" w:rsidRPr="0088100F">
        <w:rPr>
          <w:rFonts w:asciiTheme="minorHAnsi" w:hAnsiTheme="minorHAnsi" w:cstheme="minorHAnsi"/>
        </w:rPr>
        <w:t xml:space="preserve">in entrambi i casi </w:t>
      </w:r>
      <w:r w:rsidRPr="0088100F">
        <w:rPr>
          <w:rFonts w:asciiTheme="minorHAnsi" w:hAnsiTheme="minorHAnsi" w:cstheme="minorHAnsi"/>
        </w:rPr>
        <w:t>realizzati nei Comuni inclusi nell’Allegato 1</w:t>
      </w:r>
      <w:r w:rsidR="0065590C" w:rsidRPr="0088100F">
        <w:rPr>
          <w:rFonts w:asciiTheme="minorHAnsi" w:hAnsiTheme="minorHAnsi" w:cstheme="minorHAnsi"/>
        </w:rPr>
        <w:t xml:space="preserve"> e per </w:t>
      </w:r>
      <w:r w:rsidR="003F733B">
        <w:rPr>
          <w:rFonts w:asciiTheme="minorHAnsi" w:hAnsiTheme="minorHAnsi" w:cstheme="minorHAnsi"/>
        </w:rPr>
        <w:t xml:space="preserve">i </w:t>
      </w:r>
      <w:r w:rsidR="0065590C" w:rsidRPr="0088100F">
        <w:rPr>
          <w:rFonts w:asciiTheme="minorHAnsi" w:hAnsiTheme="minorHAnsi" w:cstheme="minorHAnsi"/>
        </w:rPr>
        <w:t xml:space="preserve">PDR </w:t>
      </w:r>
      <w:r w:rsidR="00D23045" w:rsidRPr="0088100F">
        <w:rPr>
          <w:rFonts w:asciiTheme="minorHAnsi" w:hAnsiTheme="minorHAnsi" w:cstheme="minorHAnsi"/>
        </w:rPr>
        <w:t xml:space="preserve">del Comune di Oristano </w:t>
      </w:r>
      <w:r w:rsidR="0065590C" w:rsidRPr="003F733B">
        <w:rPr>
          <w:rFonts w:asciiTheme="minorHAnsi" w:hAnsiTheme="minorHAnsi" w:cstheme="minorHAnsi"/>
          <w:u w:val="single"/>
        </w:rPr>
        <w:t>non inclusi</w:t>
      </w:r>
      <w:r w:rsidR="0065590C" w:rsidRPr="0088100F">
        <w:rPr>
          <w:rFonts w:asciiTheme="minorHAnsi" w:hAnsiTheme="minorHAnsi" w:cstheme="minorHAnsi"/>
        </w:rPr>
        <w:t xml:space="preserve"> nell’elenco di cui all’Allegato 3</w:t>
      </w:r>
      <w:r w:rsidRPr="0088100F">
        <w:rPr>
          <w:rFonts w:asciiTheme="minorHAnsi" w:hAnsiTheme="minorHAnsi" w:cstheme="minorHAnsi"/>
        </w:rPr>
        <w:t>,</w:t>
      </w:r>
      <w:r w:rsidR="007814F0" w:rsidRPr="0088100F">
        <w:rPr>
          <w:rFonts w:asciiTheme="minorHAnsi" w:hAnsiTheme="minorHAnsi" w:cstheme="minorHAnsi"/>
        </w:rPr>
        <w:t xml:space="preserve"> </w:t>
      </w:r>
      <w:r w:rsidR="0065590C" w:rsidRPr="0088100F">
        <w:rPr>
          <w:rFonts w:asciiTheme="minorHAnsi" w:hAnsiTheme="minorHAnsi" w:cstheme="minorHAnsi"/>
        </w:rPr>
        <w:t xml:space="preserve">per il solo Comune di Oristano </w:t>
      </w:r>
      <w:r w:rsidR="00776BE1" w:rsidRPr="0088100F">
        <w:rPr>
          <w:rFonts w:asciiTheme="minorHAnsi" w:hAnsiTheme="minorHAnsi" w:cstheme="minorHAnsi"/>
        </w:rPr>
        <w:t>a 250 €</w:t>
      </w:r>
      <w:r w:rsidR="00D23045" w:rsidRPr="0088100F">
        <w:rPr>
          <w:rFonts w:asciiTheme="minorHAnsi" w:hAnsiTheme="minorHAnsi" w:cstheme="minorHAnsi"/>
        </w:rPr>
        <w:t>,</w:t>
      </w:r>
      <w:r w:rsidR="00776BE1" w:rsidRPr="0088100F">
        <w:rPr>
          <w:rFonts w:asciiTheme="minorHAnsi" w:hAnsiTheme="minorHAnsi" w:cstheme="minorHAnsi"/>
        </w:rPr>
        <w:t xml:space="preserve"> per </w:t>
      </w:r>
      <w:r w:rsidR="0078721A" w:rsidRPr="0088100F">
        <w:rPr>
          <w:rFonts w:asciiTheme="minorHAnsi" w:hAnsiTheme="minorHAnsi" w:cstheme="minorHAnsi"/>
        </w:rPr>
        <w:t xml:space="preserve">gli interventi con </w:t>
      </w:r>
      <w:r w:rsidR="00776BE1" w:rsidRPr="0088100F">
        <w:rPr>
          <w:rFonts w:asciiTheme="minorHAnsi" w:hAnsiTheme="minorHAnsi" w:cstheme="minorHAnsi"/>
        </w:rPr>
        <w:t xml:space="preserve">tutte le tipologie di PDR </w:t>
      </w:r>
      <w:r w:rsidR="007814F0" w:rsidRPr="0088100F">
        <w:rPr>
          <w:rFonts w:asciiTheme="minorHAnsi" w:hAnsiTheme="minorHAnsi" w:cstheme="minorHAnsi"/>
          <w:color w:val="000000" w:themeColor="text1"/>
        </w:rPr>
        <w:t>alimentat</w:t>
      </w:r>
      <w:r w:rsidR="008C1E87" w:rsidRPr="0088100F">
        <w:rPr>
          <w:rFonts w:asciiTheme="minorHAnsi" w:hAnsiTheme="minorHAnsi" w:cstheme="minorHAnsi"/>
          <w:color w:val="000000" w:themeColor="text1"/>
        </w:rPr>
        <w:t>i</w:t>
      </w:r>
      <w:r w:rsidR="007814F0" w:rsidRPr="0088100F">
        <w:rPr>
          <w:rFonts w:asciiTheme="minorHAnsi" w:hAnsiTheme="minorHAnsi" w:cstheme="minorHAnsi"/>
          <w:color w:val="000000" w:themeColor="text1"/>
        </w:rPr>
        <w:t xml:space="preserve"> ad aria </w:t>
      </w:r>
      <w:proofErr w:type="spellStart"/>
      <w:r w:rsidR="007814F0" w:rsidRPr="0088100F">
        <w:rPr>
          <w:rFonts w:asciiTheme="minorHAnsi" w:hAnsiTheme="minorHAnsi" w:cstheme="minorHAnsi"/>
          <w:color w:val="000000" w:themeColor="text1"/>
        </w:rPr>
        <w:t>propanata</w:t>
      </w:r>
      <w:proofErr w:type="spellEnd"/>
      <w:r w:rsidR="007814F0" w:rsidRPr="0088100F">
        <w:rPr>
          <w:rFonts w:asciiTheme="minorHAnsi" w:hAnsiTheme="minorHAnsi" w:cstheme="minorHAnsi"/>
          <w:color w:val="000000" w:themeColor="text1"/>
        </w:rPr>
        <w:t xml:space="preserve"> e </w:t>
      </w:r>
      <w:r w:rsidR="007814F0" w:rsidRPr="0088100F">
        <w:rPr>
          <w:rFonts w:asciiTheme="minorHAnsi" w:hAnsiTheme="minorHAnsi" w:cstheme="minorHAnsi"/>
          <w:color w:val="000000" w:themeColor="text1"/>
          <w:u w:val="single"/>
        </w:rPr>
        <w:t>inclus</w:t>
      </w:r>
      <w:r w:rsidR="008C1E87" w:rsidRPr="0088100F">
        <w:rPr>
          <w:rFonts w:asciiTheme="minorHAnsi" w:hAnsiTheme="minorHAnsi" w:cstheme="minorHAnsi"/>
          <w:color w:val="000000" w:themeColor="text1"/>
          <w:u w:val="single"/>
        </w:rPr>
        <w:t>i</w:t>
      </w:r>
      <w:r w:rsidR="007814F0" w:rsidRPr="0088100F">
        <w:rPr>
          <w:rFonts w:asciiTheme="minorHAnsi" w:hAnsiTheme="minorHAnsi" w:cstheme="minorHAnsi"/>
          <w:color w:val="000000" w:themeColor="text1"/>
        </w:rPr>
        <w:t xml:space="preserve"> nell’elenco di cui all’Allegato 3</w:t>
      </w:r>
      <w:r w:rsidR="00776BE1" w:rsidRPr="0088100F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88100F">
        <w:rPr>
          <w:rFonts w:asciiTheme="minorHAnsi" w:hAnsiTheme="minorHAnsi" w:cstheme="minorHAnsi"/>
        </w:rPr>
        <w:t xml:space="preserve"> il contributo di Medea di cui a</w:t>
      </w:r>
      <w:r w:rsidR="00663898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punt</w:t>
      </w:r>
      <w:r w:rsidR="00663898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(iii)</w:t>
      </w:r>
      <w:r w:rsidR="00A176BB" w:rsidRPr="0088100F">
        <w:rPr>
          <w:rFonts w:asciiTheme="minorHAnsi" w:hAnsiTheme="minorHAnsi" w:cstheme="minorHAnsi"/>
        </w:rPr>
        <w:t xml:space="preserve"> e</w:t>
      </w:r>
      <w:r w:rsidR="00AD53A4" w:rsidRPr="0088100F">
        <w:rPr>
          <w:rFonts w:asciiTheme="minorHAnsi" w:hAnsiTheme="minorHAnsi" w:cstheme="minorHAnsi"/>
        </w:rPr>
        <w:t xml:space="preserve"> (iv) </w:t>
      </w:r>
      <w:r w:rsidRPr="0088100F">
        <w:rPr>
          <w:rFonts w:asciiTheme="minorHAnsi" w:hAnsiTheme="minorHAnsi" w:cstheme="minorHAnsi"/>
        </w:rPr>
        <w:t xml:space="preserve">non </w:t>
      </w:r>
      <w:proofErr w:type="spellStart"/>
      <w:r w:rsidRPr="0088100F">
        <w:rPr>
          <w:rFonts w:asciiTheme="minorHAnsi" w:hAnsiTheme="minorHAnsi" w:cstheme="minorHAnsi"/>
        </w:rPr>
        <w:t>eccedera</w:t>
      </w:r>
      <w:proofErr w:type="spellEnd"/>
      <w:r w:rsidRPr="0088100F">
        <w:rPr>
          <w:rFonts w:asciiTheme="minorHAnsi" w:hAnsiTheme="minorHAnsi" w:cstheme="minorHAnsi"/>
        </w:rPr>
        <w:t xml:space="preserve">̀ in ogni caso rispettivamente il valore di </w:t>
      </w:r>
      <w:r w:rsidR="007D75AC" w:rsidRPr="0088100F">
        <w:rPr>
          <w:rFonts w:asciiTheme="minorHAnsi" w:hAnsiTheme="minorHAnsi" w:cstheme="minorHAnsi"/>
        </w:rPr>
        <w:t xml:space="preserve">1.800 </w:t>
      </w:r>
      <w:r w:rsidR="00E95151" w:rsidRPr="0088100F">
        <w:rPr>
          <w:rFonts w:asciiTheme="minorHAnsi" w:hAnsiTheme="minorHAnsi" w:cstheme="minorHAnsi"/>
        </w:rPr>
        <w:t>€</w:t>
      </w:r>
      <w:r w:rsidR="009443CA" w:rsidRPr="0088100F">
        <w:rPr>
          <w:rFonts w:asciiTheme="minorHAnsi" w:hAnsiTheme="minorHAnsi" w:cstheme="minorHAnsi"/>
        </w:rPr>
        <w:t xml:space="preserve"> oltre IVA</w:t>
      </w:r>
      <w:r w:rsidR="00B43D60" w:rsidRPr="0088100F">
        <w:rPr>
          <w:rFonts w:asciiTheme="minorHAnsi" w:hAnsiTheme="minorHAnsi" w:cstheme="minorHAnsi"/>
        </w:rPr>
        <w:t xml:space="preserve">, </w:t>
      </w:r>
      <w:r w:rsidR="004C1B20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>1.500 € oltre IVA</w:t>
      </w:r>
      <w:r w:rsidR="00B43D60" w:rsidRPr="0088100F">
        <w:rPr>
          <w:rFonts w:asciiTheme="minorHAnsi" w:hAnsiTheme="minorHAnsi" w:cstheme="minorHAnsi"/>
        </w:rPr>
        <w:t xml:space="preserve"> e 250 € oltre IVA</w:t>
      </w:r>
      <w:r w:rsidRPr="0088100F">
        <w:rPr>
          <w:rFonts w:asciiTheme="minorHAnsi" w:hAnsiTheme="minorHAnsi" w:cstheme="minorHAnsi"/>
        </w:rPr>
        <w:t>, fermo restando l’obbligo di Medea di corrispondere il Rimborso di Verifica Impianti</w:t>
      </w:r>
      <w:r w:rsidR="005F291F" w:rsidRPr="0088100F">
        <w:rPr>
          <w:rFonts w:asciiTheme="minorHAnsi" w:hAnsiTheme="minorHAnsi" w:cstheme="minorHAnsi"/>
        </w:rPr>
        <w:t xml:space="preserve">, nella misura già specificata al precedente punto v; </w:t>
      </w:r>
      <w:r w:rsidRPr="0088100F">
        <w:rPr>
          <w:rFonts w:asciiTheme="minorHAnsi" w:hAnsiTheme="minorHAnsi" w:cstheme="minorHAnsi"/>
        </w:rPr>
        <w:t xml:space="preserve">diversamente, ove il valore dell’Intervento fosse inferiore a </w:t>
      </w:r>
      <w:r w:rsidR="009443CA" w:rsidRPr="0088100F">
        <w:rPr>
          <w:rFonts w:asciiTheme="minorHAnsi" w:hAnsiTheme="minorHAnsi" w:cstheme="minorHAnsi"/>
        </w:rPr>
        <w:t>1.800 € oltre IVA</w:t>
      </w:r>
      <w:r w:rsidR="00B43D60" w:rsidRPr="0088100F">
        <w:rPr>
          <w:rFonts w:asciiTheme="minorHAnsi" w:hAnsiTheme="minorHAnsi" w:cstheme="minorHAnsi"/>
        </w:rPr>
        <w:t>,</w:t>
      </w:r>
      <w:r w:rsidR="009443CA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 xml:space="preserve">1.500 € </w:t>
      </w:r>
      <w:r w:rsidR="00DD7D50" w:rsidRPr="0088100F">
        <w:rPr>
          <w:rFonts w:asciiTheme="minorHAnsi" w:hAnsiTheme="minorHAnsi" w:cstheme="minorHAnsi"/>
        </w:rPr>
        <w:t>oltre IVA</w:t>
      </w:r>
      <w:r w:rsidR="00B43D60" w:rsidRPr="0088100F">
        <w:rPr>
          <w:rFonts w:asciiTheme="minorHAnsi" w:hAnsiTheme="minorHAnsi" w:cstheme="minorHAnsi"/>
        </w:rPr>
        <w:t xml:space="preserve"> e 250 € oltre IVA</w:t>
      </w:r>
      <w:r w:rsidR="007918D8" w:rsidRPr="0088100F">
        <w:rPr>
          <w:rFonts w:asciiTheme="minorHAnsi" w:hAnsiTheme="minorHAnsi" w:cstheme="minorHAnsi"/>
        </w:rPr>
        <w:t xml:space="preserve">, </w:t>
      </w:r>
      <w:r w:rsidRPr="0088100F">
        <w:rPr>
          <w:rFonts w:asciiTheme="minorHAnsi" w:hAnsiTheme="minorHAnsi" w:cstheme="minorHAnsi"/>
        </w:rPr>
        <w:t xml:space="preserve">il contributo di Medea a favore della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</w:t>
      </w:r>
      <w:proofErr w:type="spellStart"/>
      <w:r w:rsidRPr="0088100F">
        <w:rPr>
          <w:rFonts w:asciiTheme="minorHAnsi" w:hAnsiTheme="minorHAnsi" w:cstheme="minorHAnsi"/>
        </w:rPr>
        <w:t>sara</w:t>
      </w:r>
      <w:proofErr w:type="spellEnd"/>
      <w:r w:rsidRPr="0088100F">
        <w:rPr>
          <w:rFonts w:asciiTheme="minorHAnsi" w:hAnsiTheme="minorHAnsi" w:cstheme="minorHAnsi"/>
        </w:rPr>
        <w:t xml:space="preserve">̀ proporzionalmente inferiore, fatto sempre salvo l’obbligo di corrispondere il Rimborso di Verifica Impianti. </w:t>
      </w:r>
    </w:p>
    <w:p w14:paraId="3F727361" w14:textId="57A2ECDA" w:rsidR="00F94E79" w:rsidRPr="0088100F" w:rsidRDefault="00BE07A2" w:rsidP="00982E7A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L’Intervento </w:t>
      </w:r>
      <w:proofErr w:type="spellStart"/>
      <w:r w:rsidRPr="0088100F">
        <w:rPr>
          <w:rFonts w:asciiTheme="minorHAnsi" w:hAnsiTheme="minorHAnsi" w:cstheme="minorHAnsi"/>
        </w:rPr>
        <w:t>dovra</w:t>
      </w:r>
      <w:proofErr w:type="spellEnd"/>
      <w:r w:rsidRPr="0088100F">
        <w:rPr>
          <w:rFonts w:asciiTheme="minorHAnsi" w:hAnsiTheme="minorHAnsi" w:cstheme="minorHAnsi"/>
        </w:rPr>
        <w:t xml:space="preserve">̀ essere eseguito direttamente dalla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>̀ di Vendita, tramite un proprio tecnico installatore, o</w:t>
      </w:r>
      <w:r w:rsidR="005F291F" w:rsidRPr="0088100F">
        <w:rPr>
          <w:rFonts w:asciiTheme="minorHAnsi" w:hAnsiTheme="minorHAnsi" w:cstheme="minorHAnsi"/>
        </w:rPr>
        <w:t>ppure</w:t>
      </w:r>
      <w:r w:rsidRPr="0088100F">
        <w:rPr>
          <w:rFonts w:asciiTheme="minorHAnsi" w:hAnsiTheme="minorHAnsi" w:cstheme="minorHAnsi"/>
        </w:rPr>
        <w:t xml:space="preserve"> tramite un tecnico installatore qualificato convenzionato con 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Vendita. Medea non </w:t>
      </w:r>
      <w:proofErr w:type="spellStart"/>
      <w:r w:rsidRPr="0088100F">
        <w:rPr>
          <w:rFonts w:asciiTheme="minorHAnsi" w:hAnsiTheme="minorHAnsi" w:cstheme="minorHAnsi"/>
        </w:rPr>
        <w:t>avra</w:t>
      </w:r>
      <w:proofErr w:type="spellEnd"/>
      <w:r w:rsidRPr="0088100F">
        <w:rPr>
          <w:rFonts w:asciiTheme="minorHAnsi" w:hAnsiTheme="minorHAnsi" w:cstheme="minorHAnsi"/>
        </w:rPr>
        <w:t xml:space="preserve">̀ alcun ruolo e </w:t>
      </w:r>
      <w:proofErr w:type="spellStart"/>
      <w:r w:rsidRPr="0088100F">
        <w:rPr>
          <w:rFonts w:asciiTheme="minorHAnsi" w:hAnsiTheme="minorHAnsi" w:cstheme="minorHAnsi"/>
        </w:rPr>
        <w:t>responsabilita</w:t>
      </w:r>
      <w:proofErr w:type="spellEnd"/>
      <w:r w:rsidRPr="0088100F">
        <w:rPr>
          <w:rFonts w:asciiTheme="minorHAnsi" w:hAnsiTheme="minorHAnsi" w:cstheme="minorHAnsi"/>
        </w:rPr>
        <w:t xml:space="preserve">̀ di alcun genere in relazione alla scelta del tecnico installatore e all’esecuzione dell’Intervento. </w:t>
      </w:r>
    </w:p>
    <w:p w14:paraId="7966DEC1" w14:textId="2E142C00" w:rsidR="00BE07A2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>Qualora alla fine del Periodo dell’Iniziativa (31 Dicembre 202</w:t>
      </w:r>
      <w:r w:rsidR="00C64B1D" w:rsidRPr="0088100F">
        <w:rPr>
          <w:rFonts w:asciiTheme="minorHAnsi" w:hAnsiTheme="minorHAnsi" w:cstheme="minorHAnsi"/>
        </w:rPr>
        <w:t>4</w:t>
      </w:r>
      <w:r w:rsidRPr="0088100F">
        <w:rPr>
          <w:rFonts w:asciiTheme="minorHAnsi" w:hAnsiTheme="minorHAnsi" w:cstheme="minorHAnsi"/>
        </w:rPr>
        <w:t xml:space="preserve">) dovessero risultare PDR </w:t>
      </w:r>
      <w:r w:rsidR="00131EC0">
        <w:rPr>
          <w:rFonts w:asciiTheme="minorHAnsi" w:hAnsiTheme="minorHAnsi" w:cstheme="minorHAnsi"/>
        </w:rPr>
        <w:t>richiesti</w:t>
      </w:r>
      <w:r w:rsidRPr="0088100F">
        <w:rPr>
          <w:rFonts w:asciiTheme="minorHAnsi" w:hAnsiTheme="minorHAnsi" w:cstheme="minorHAnsi"/>
        </w:rPr>
        <w:t xml:space="preserve"> ma non ancora attivati, Medea </w:t>
      </w:r>
      <w:proofErr w:type="spellStart"/>
      <w:r w:rsidRPr="0088100F">
        <w:rPr>
          <w:rFonts w:asciiTheme="minorHAnsi" w:hAnsiTheme="minorHAnsi" w:cstheme="minorHAnsi"/>
        </w:rPr>
        <w:t>prendera</w:t>
      </w:r>
      <w:proofErr w:type="spellEnd"/>
      <w:r w:rsidRPr="0088100F">
        <w:rPr>
          <w:rFonts w:asciiTheme="minorHAnsi" w:hAnsiTheme="minorHAnsi" w:cstheme="minorHAnsi"/>
        </w:rPr>
        <w:t>̀ in considerazione</w:t>
      </w:r>
      <w:r w:rsidR="005F291F" w:rsidRPr="0088100F">
        <w:rPr>
          <w:rFonts w:asciiTheme="minorHAnsi" w:hAnsiTheme="minorHAnsi" w:cstheme="minorHAnsi"/>
        </w:rPr>
        <w:t xml:space="preserve">, ai fini del riconoscimento dei contributi di cui all’iniziativa in oggetto, </w:t>
      </w:r>
      <w:r w:rsidRPr="0088100F">
        <w:rPr>
          <w:rFonts w:asciiTheme="minorHAnsi" w:hAnsiTheme="minorHAnsi" w:cstheme="minorHAnsi"/>
        </w:rPr>
        <w:t xml:space="preserve"> soltanto le pratiche </w:t>
      </w:r>
      <w:r w:rsidR="00430FFC" w:rsidRPr="0088100F">
        <w:rPr>
          <w:rFonts w:asciiTheme="minorHAnsi" w:hAnsiTheme="minorHAnsi" w:cstheme="minorHAnsi"/>
        </w:rPr>
        <w:t xml:space="preserve">per le quali </w:t>
      </w:r>
      <w:r w:rsidR="00AA4959" w:rsidRPr="0088100F">
        <w:rPr>
          <w:rFonts w:asciiTheme="minorHAnsi" w:hAnsiTheme="minorHAnsi" w:cstheme="minorHAnsi"/>
        </w:rPr>
        <w:t xml:space="preserve">sia stata </w:t>
      </w:r>
      <w:r w:rsidR="00394EE1" w:rsidRPr="0088100F">
        <w:rPr>
          <w:rFonts w:asciiTheme="minorHAnsi" w:hAnsiTheme="minorHAnsi" w:cstheme="minorHAnsi"/>
        </w:rPr>
        <w:t xml:space="preserve">inserita una richiesta </w:t>
      </w:r>
      <w:r w:rsidRPr="0088100F">
        <w:rPr>
          <w:rFonts w:asciiTheme="minorHAnsi" w:hAnsiTheme="minorHAnsi" w:cstheme="minorHAnsi"/>
        </w:rPr>
        <w:t xml:space="preserve">di </w:t>
      </w:r>
      <w:r w:rsidR="00394EE1" w:rsidRPr="0088100F">
        <w:rPr>
          <w:rFonts w:asciiTheme="minorHAnsi" w:hAnsiTheme="minorHAnsi" w:cstheme="minorHAnsi"/>
        </w:rPr>
        <w:t>esecuzione lavoro</w:t>
      </w:r>
      <w:r w:rsidR="00650B42" w:rsidRPr="0088100F">
        <w:rPr>
          <w:rFonts w:asciiTheme="minorHAnsi" w:hAnsiTheme="minorHAnsi" w:cstheme="minorHAnsi"/>
        </w:rPr>
        <w:t>, a seguito di accettazione e pagamento del preventivo,</w:t>
      </w:r>
      <w:r w:rsidR="00394EE1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 xml:space="preserve">con data di richiesta di </w:t>
      </w:r>
      <w:r w:rsidR="00650B42" w:rsidRPr="0088100F">
        <w:rPr>
          <w:rFonts w:asciiTheme="minorHAnsi" w:hAnsiTheme="minorHAnsi" w:cstheme="minorHAnsi"/>
        </w:rPr>
        <w:t xml:space="preserve">esecuzione lavoro </w:t>
      </w:r>
      <w:r w:rsidRPr="0088100F">
        <w:rPr>
          <w:rFonts w:asciiTheme="minorHAnsi" w:hAnsiTheme="minorHAnsi" w:cstheme="minorHAnsi"/>
        </w:rPr>
        <w:t>antecedente al 31 Dicembre 202</w:t>
      </w:r>
      <w:r w:rsidR="00C64B1D" w:rsidRPr="0088100F">
        <w:rPr>
          <w:rFonts w:asciiTheme="minorHAnsi" w:hAnsiTheme="minorHAnsi" w:cstheme="minorHAnsi"/>
        </w:rPr>
        <w:t>4</w:t>
      </w:r>
      <w:r w:rsidRPr="0088100F">
        <w:rPr>
          <w:rFonts w:asciiTheme="minorHAnsi" w:hAnsiTheme="minorHAnsi" w:cstheme="minorHAnsi"/>
        </w:rPr>
        <w:t xml:space="preserve"> (incluso) e</w:t>
      </w:r>
      <w:r w:rsidR="00501222" w:rsidRPr="0088100F">
        <w:rPr>
          <w:rFonts w:asciiTheme="minorHAnsi" w:hAnsiTheme="minorHAnsi" w:cstheme="minorHAnsi"/>
        </w:rPr>
        <w:t>d</w:t>
      </w:r>
      <w:r w:rsidRPr="0088100F">
        <w:rPr>
          <w:rFonts w:asciiTheme="minorHAnsi" w:hAnsiTheme="minorHAnsi" w:cstheme="minorHAnsi"/>
        </w:rPr>
        <w:t xml:space="preserve"> </w:t>
      </w:r>
      <w:proofErr w:type="spellStart"/>
      <w:r w:rsidRPr="0088100F">
        <w:rPr>
          <w:rFonts w:asciiTheme="minorHAnsi" w:hAnsiTheme="minorHAnsi" w:cstheme="minorHAnsi"/>
        </w:rPr>
        <w:t>effettuera</w:t>
      </w:r>
      <w:proofErr w:type="spellEnd"/>
      <w:r w:rsidRPr="0088100F">
        <w:rPr>
          <w:rFonts w:asciiTheme="minorHAnsi" w:hAnsiTheme="minorHAnsi" w:cstheme="minorHAnsi"/>
        </w:rPr>
        <w:t>̀ i rimbors</w:t>
      </w:r>
      <w:r w:rsidR="007918D8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di cui a</w:t>
      </w:r>
      <w:r w:rsidR="007918D8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punt</w:t>
      </w:r>
      <w:r w:rsidR="007918D8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(iii)</w:t>
      </w:r>
      <w:r w:rsidR="00AB165C" w:rsidRPr="0088100F">
        <w:rPr>
          <w:rFonts w:asciiTheme="minorHAnsi" w:hAnsiTheme="minorHAnsi" w:cstheme="minorHAnsi"/>
        </w:rPr>
        <w:t xml:space="preserve"> e </w:t>
      </w:r>
      <w:r w:rsidR="007918D8" w:rsidRPr="0088100F">
        <w:rPr>
          <w:rFonts w:asciiTheme="minorHAnsi" w:hAnsiTheme="minorHAnsi" w:cstheme="minorHAnsi"/>
        </w:rPr>
        <w:t>(iv)</w:t>
      </w:r>
      <w:r w:rsidRPr="0088100F">
        <w:rPr>
          <w:rFonts w:asciiTheme="minorHAnsi" w:hAnsiTheme="minorHAnsi" w:cstheme="minorHAnsi"/>
        </w:rPr>
        <w:t xml:space="preserve"> solo in proporzione agli importi che saranno documentati dalla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e solo a condizione che l’attivazione sia stata eseguita positivamente (stato avanzamento eseguito – ESE) dalla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Vendita. </w:t>
      </w:r>
    </w:p>
    <w:p w14:paraId="7A7C9336" w14:textId="3BB45776" w:rsidR="00BE07A2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Il rimborso da parte di Medea </w:t>
      </w:r>
      <w:proofErr w:type="spellStart"/>
      <w:r w:rsidRPr="0088100F">
        <w:rPr>
          <w:rFonts w:asciiTheme="minorHAnsi" w:hAnsiTheme="minorHAnsi" w:cstheme="minorHAnsi"/>
        </w:rPr>
        <w:t>avverra</w:t>
      </w:r>
      <w:proofErr w:type="spellEnd"/>
      <w:r w:rsidRPr="0088100F">
        <w:rPr>
          <w:rFonts w:asciiTheme="minorHAnsi" w:hAnsiTheme="minorHAnsi" w:cstheme="minorHAnsi"/>
        </w:rPr>
        <w:t>̀</w:t>
      </w:r>
      <w:r w:rsidR="00ED0081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 xml:space="preserve">a seguito di riaddebito </w:t>
      </w:r>
      <w:r w:rsidR="00ED0081" w:rsidRPr="0088100F">
        <w:rPr>
          <w:rFonts w:asciiTheme="minorHAnsi" w:hAnsiTheme="minorHAnsi" w:cstheme="minorHAnsi"/>
        </w:rPr>
        <w:t xml:space="preserve">del relativo importo da parte </w:t>
      </w:r>
      <w:r w:rsidRPr="0088100F">
        <w:rPr>
          <w:rFonts w:asciiTheme="minorHAnsi" w:hAnsiTheme="minorHAnsi" w:cstheme="minorHAnsi"/>
        </w:rPr>
        <w:t>d</w:t>
      </w:r>
      <w:r w:rsidR="00ED0081" w:rsidRPr="0088100F">
        <w:rPr>
          <w:rFonts w:asciiTheme="minorHAnsi" w:hAnsiTheme="minorHAnsi" w:cstheme="minorHAnsi"/>
        </w:rPr>
        <w:t>e</w:t>
      </w:r>
      <w:r w:rsidRPr="0088100F">
        <w:rPr>
          <w:rFonts w:asciiTheme="minorHAnsi" w:hAnsiTheme="minorHAnsi" w:cstheme="minorHAnsi"/>
        </w:rPr>
        <w:t xml:space="preserve">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a Medea, effettuato </w:t>
      </w:r>
      <w:r w:rsidR="00ED0081" w:rsidRPr="0088100F">
        <w:rPr>
          <w:rFonts w:asciiTheme="minorHAnsi" w:hAnsiTheme="minorHAnsi" w:cstheme="minorHAnsi"/>
        </w:rPr>
        <w:t xml:space="preserve">mediante emissione di </w:t>
      </w:r>
      <w:r w:rsidRPr="0088100F">
        <w:rPr>
          <w:rFonts w:asciiTheme="minorHAnsi" w:hAnsiTheme="minorHAnsi" w:cstheme="minorHAnsi"/>
        </w:rPr>
        <w:t>regolare fattura mensile</w:t>
      </w:r>
      <w:r w:rsidR="00ED0081" w:rsidRPr="0088100F">
        <w:rPr>
          <w:rFonts w:asciiTheme="minorHAnsi" w:hAnsiTheme="minorHAnsi" w:cstheme="minorHAnsi"/>
        </w:rPr>
        <w:t xml:space="preserve"> contenente la </w:t>
      </w:r>
      <w:proofErr w:type="gramStart"/>
      <w:r w:rsidR="00ED0081" w:rsidRPr="0088100F">
        <w:rPr>
          <w:rFonts w:asciiTheme="minorHAnsi" w:hAnsiTheme="minorHAnsi" w:cstheme="minorHAnsi"/>
        </w:rPr>
        <w:t xml:space="preserve">quantificazione </w:t>
      </w:r>
      <w:r w:rsidRPr="0088100F">
        <w:rPr>
          <w:rFonts w:asciiTheme="minorHAnsi" w:hAnsiTheme="minorHAnsi" w:cstheme="minorHAnsi"/>
        </w:rPr>
        <w:t xml:space="preserve"> degli</w:t>
      </w:r>
      <w:proofErr w:type="gramEnd"/>
      <w:r w:rsidRPr="0088100F">
        <w:rPr>
          <w:rFonts w:asciiTheme="minorHAnsi" w:hAnsiTheme="minorHAnsi" w:cstheme="minorHAnsi"/>
        </w:rPr>
        <w:t xml:space="preserve"> oneri sostenuti, i quali saranno commisurati ai contributi per gli Interventi effettuati dalla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o dal tecnico installatore convenzionato a favore dei clienti che, previa realizzazione dell’Intervento, abbiano attivato un PDR nel contesto dell’Iniziativa. </w:t>
      </w:r>
    </w:p>
    <w:p w14:paraId="18287DA0" w14:textId="77777777" w:rsidR="00BE07A2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si impegna a presentare mensilmente a Medea la rendicontazione dei PDR attivati per i quali 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Vendita, direttamente o mediante un tecnico installatore dalla stessa convenzionato, ha svolto l’Intervento. </w:t>
      </w:r>
    </w:p>
    <w:p w14:paraId="6468121A" w14:textId="6579AAC0" w:rsidR="00BE07A2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Unitamente all’invio della richiesta di rimborso di cui al punto </w:t>
      </w:r>
      <w:r w:rsidR="00274619" w:rsidRPr="0088100F">
        <w:rPr>
          <w:rFonts w:asciiTheme="minorHAnsi" w:hAnsiTheme="minorHAnsi" w:cstheme="minorHAnsi"/>
        </w:rPr>
        <w:t>i</w:t>
      </w:r>
      <w:r w:rsidR="00254022" w:rsidRPr="0088100F">
        <w:rPr>
          <w:rFonts w:asciiTheme="minorHAnsi" w:hAnsiTheme="minorHAnsi" w:cstheme="minorHAnsi"/>
        </w:rPr>
        <w:t>x</w:t>
      </w:r>
      <w:r w:rsidRPr="0088100F">
        <w:rPr>
          <w:rFonts w:asciiTheme="minorHAnsi" w:hAnsiTheme="minorHAnsi" w:cstheme="minorHAnsi"/>
        </w:rPr>
        <w:t xml:space="preserve">), 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 xml:space="preserve">̀ di Vendita </w:t>
      </w:r>
      <w:proofErr w:type="spellStart"/>
      <w:r w:rsidRPr="0088100F">
        <w:rPr>
          <w:rFonts w:asciiTheme="minorHAnsi" w:hAnsiTheme="minorHAnsi" w:cstheme="minorHAnsi"/>
        </w:rPr>
        <w:t>dovra</w:t>
      </w:r>
      <w:proofErr w:type="spellEnd"/>
      <w:r w:rsidRPr="0088100F">
        <w:rPr>
          <w:rFonts w:asciiTheme="minorHAnsi" w:hAnsiTheme="minorHAnsi" w:cstheme="minorHAnsi"/>
        </w:rPr>
        <w:t xml:space="preserve">̀ fornire a Medea (i) documentazione probatoria attestante l’effettuazione dell’Intervento ovvero la fattura che il tecnico installatore convenzionato </w:t>
      </w:r>
      <w:proofErr w:type="spellStart"/>
      <w:r w:rsidRPr="0088100F">
        <w:rPr>
          <w:rFonts w:asciiTheme="minorHAnsi" w:hAnsiTheme="minorHAnsi" w:cstheme="minorHAnsi"/>
        </w:rPr>
        <w:t>emettera</w:t>
      </w:r>
      <w:proofErr w:type="spellEnd"/>
      <w:r w:rsidRPr="0088100F">
        <w:rPr>
          <w:rFonts w:asciiTheme="minorHAnsi" w:hAnsiTheme="minorHAnsi" w:cstheme="minorHAnsi"/>
        </w:rPr>
        <w:t xml:space="preserve">̀ nei confronti del cliente </w:t>
      </w:r>
      <w:r w:rsidR="00ED0081" w:rsidRPr="0088100F">
        <w:rPr>
          <w:rFonts w:asciiTheme="minorHAnsi" w:hAnsiTheme="minorHAnsi" w:cstheme="minorHAnsi"/>
        </w:rPr>
        <w:t xml:space="preserve">nella quale </w:t>
      </w:r>
      <w:r w:rsidRPr="0088100F">
        <w:rPr>
          <w:rFonts w:asciiTheme="minorHAnsi" w:hAnsiTheme="minorHAnsi" w:cstheme="minorHAnsi"/>
        </w:rPr>
        <w:t>verr</w:t>
      </w:r>
      <w:r w:rsidR="00ED0081" w:rsidRPr="0088100F">
        <w:rPr>
          <w:rFonts w:asciiTheme="minorHAnsi" w:hAnsiTheme="minorHAnsi" w:cstheme="minorHAnsi"/>
        </w:rPr>
        <w:t>anno</w:t>
      </w:r>
      <w:r w:rsidRPr="0088100F">
        <w:rPr>
          <w:rFonts w:asciiTheme="minorHAnsi" w:hAnsiTheme="minorHAnsi" w:cstheme="minorHAnsi"/>
        </w:rPr>
        <w:t xml:space="preserve"> evidenziat</w:t>
      </w:r>
      <w:r w:rsidR="00ED0081" w:rsidRPr="0088100F">
        <w:rPr>
          <w:rFonts w:asciiTheme="minorHAnsi" w:hAnsiTheme="minorHAnsi" w:cstheme="minorHAnsi"/>
        </w:rPr>
        <w:t>i</w:t>
      </w:r>
      <w:r w:rsidRPr="0088100F">
        <w:rPr>
          <w:rFonts w:asciiTheme="minorHAnsi" w:hAnsiTheme="minorHAnsi" w:cstheme="minorHAnsi"/>
        </w:rPr>
        <w:t xml:space="preserve"> il costo sostenuto per l’incentivazione da</w:t>
      </w:r>
      <w:r w:rsidR="00C732B0">
        <w:rPr>
          <w:rFonts w:asciiTheme="minorHAnsi" w:hAnsiTheme="minorHAnsi" w:cstheme="minorHAnsi"/>
        </w:rPr>
        <w:t>lla Società di Vendita</w:t>
      </w:r>
      <w:r w:rsidRPr="0088100F">
        <w:rPr>
          <w:rFonts w:asciiTheme="minorHAnsi" w:hAnsiTheme="minorHAnsi" w:cstheme="minorHAnsi"/>
        </w:rPr>
        <w:t xml:space="preserve"> al cliente, nonché </w:t>
      </w:r>
      <w:r w:rsidR="00501222" w:rsidRPr="0088100F">
        <w:rPr>
          <w:rFonts w:asciiTheme="minorHAnsi" w:hAnsiTheme="minorHAnsi" w:cstheme="minorHAnsi"/>
        </w:rPr>
        <w:t xml:space="preserve">le </w:t>
      </w:r>
      <w:r w:rsidRPr="0088100F">
        <w:rPr>
          <w:rFonts w:asciiTheme="minorHAnsi" w:hAnsiTheme="minorHAnsi" w:cstheme="minorHAnsi"/>
        </w:rPr>
        <w:t>immagini fotografiche dei lavori svolti (ii) documentazione probatoria di congruità dell’impianto realizzato rispetto alla fattura emessa dal tecnico installatore convenzionato</w:t>
      </w:r>
      <w:r w:rsidR="005B7827" w:rsidRPr="0088100F">
        <w:rPr>
          <w:rFonts w:asciiTheme="minorHAnsi" w:hAnsiTheme="minorHAnsi" w:cstheme="minorHAnsi"/>
        </w:rPr>
        <w:t xml:space="preserve"> e (iii) elenco completo digitalizzato di tutte le richieste di rimborso, redatto secondo il template previsto nell’</w:t>
      </w:r>
      <w:r w:rsidR="005B7827" w:rsidRPr="0088100F">
        <w:rPr>
          <w:rFonts w:asciiTheme="minorHAnsi" w:hAnsiTheme="minorHAnsi" w:cstheme="minorHAnsi"/>
          <w:b/>
          <w:bCs/>
        </w:rPr>
        <w:t xml:space="preserve">Allegato </w:t>
      </w:r>
      <w:r w:rsidR="00F66F42" w:rsidRPr="0088100F">
        <w:rPr>
          <w:rFonts w:asciiTheme="minorHAnsi" w:hAnsiTheme="minorHAnsi" w:cstheme="minorHAnsi"/>
          <w:b/>
          <w:bCs/>
        </w:rPr>
        <w:t>4</w:t>
      </w:r>
      <w:r w:rsidR="00ED0081" w:rsidRPr="0088100F">
        <w:rPr>
          <w:rFonts w:asciiTheme="minorHAnsi" w:hAnsiTheme="minorHAnsi" w:cstheme="minorHAnsi"/>
        </w:rPr>
        <w:t>.</w:t>
      </w:r>
      <w:r w:rsidRPr="0088100F">
        <w:rPr>
          <w:rFonts w:asciiTheme="minorHAnsi" w:hAnsiTheme="minorHAnsi" w:cstheme="minorHAnsi"/>
        </w:rPr>
        <w:t xml:space="preserve"> Medea potrà </w:t>
      </w:r>
      <w:r w:rsidR="005B7827" w:rsidRPr="0088100F">
        <w:rPr>
          <w:rFonts w:asciiTheme="minorHAnsi" w:hAnsiTheme="minorHAnsi" w:cstheme="minorHAnsi"/>
        </w:rPr>
        <w:t xml:space="preserve">inoltre </w:t>
      </w:r>
      <w:r w:rsidRPr="0088100F">
        <w:rPr>
          <w:rFonts w:asciiTheme="minorHAnsi" w:hAnsiTheme="minorHAnsi" w:cstheme="minorHAnsi"/>
        </w:rPr>
        <w:t>richiedere alla Società di Vendita di eseguire verifiche in loco</w:t>
      </w:r>
      <w:r w:rsidR="000A15BC" w:rsidRPr="0088100F">
        <w:rPr>
          <w:rFonts w:asciiTheme="minorHAnsi" w:hAnsiTheme="minorHAnsi" w:cstheme="minorHAnsi"/>
        </w:rPr>
        <w:t xml:space="preserve"> </w:t>
      </w:r>
      <w:r w:rsidRPr="0088100F">
        <w:rPr>
          <w:rFonts w:asciiTheme="minorHAnsi" w:hAnsiTheme="minorHAnsi" w:cstheme="minorHAnsi"/>
        </w:rPr>
        <w:t>eventualmente anche a campione e anche per il tramite di soggetti terzi da essa delegati. Pertanto, la Società di Vendita dovrà darne comunicazione preventiva ai clienti finali</w:t>
      </w:r>
      <w:r w:rsidR="005B7827" w:rsidRPr="0088100F">
        <w:rPr>
          <w:rFonts w:asciiTheme="minorHAnsi" w:hAnsiTheme="minorHAnsi" w:cstheme="minorHAnsi"/>
        </w:rPr>
        <w:t xml:space="preserve">. Tali verifiche potranno essere richieste da </w:t>
      </w:r>
      <w:proofErr w:type="gramStart"/>
      <w:r w:rsidR="005B7827" w:rsidRPr="0088100F">
        <w:rPr>
          <w:rFonts w:asciiTheme="minorHAnsi" w:hAnsiTheme="minorHAnsi" w:cstheme="minorHAnsi"/>
        </w:rPr>
        <w:t>Medea  ogni</w:t>
      </w:r>
      <w:proofErr w:type="gramEnd"/>
      <w:r w:rsidR="005B7827" w:rsidRPr="0088100F">
        <w:rPr>
          <w:rFonts w:asciiTheme="minorHAnsi" w:hAnsiTheme="minorHAnsi" w:cstheme="minorHAnsi"/>
        </w:rPr>
        <w:t xml:space="preserve"> tre mesi, entro </w:t>
      </w:r>
      <w:r w:rsidR="00B6681C" w:rsidRPr="0088100F">
        <w:rPr>
          <w:rFonts w:asciiTheme="minorHAnsi" w:hAnsiTheme="minorHAnsi" w:cstheme="minorHAnsi"/>
        </w:rPr>
        <w:t xml:space="preserve">i primi </w:t>
      </w:r>
      <w:r w:rsidR="005B7827" w:rsidRPr="0088100F">
        <w:rPr>
          <w:rFonts w:asciiTheme="minorHAnsi" w:hAnsiTheme="minorHAnsi" w:cstheme="minorHAnsi"/>
        </w:rPr>
        <w:t xml:space="preserve">15 giorni </w:t>
      </w:r>
      <w:r w:rsidR="00B6681C" w:rsidRPr="0088100F">
        <w:rPr>
          <w:rFonts w:asciiTheme="minorHAnsi" w:hAnsiTheme="minorHAnsi" w:cstheme="minorHAnsi"/>
        </w:rPr>
        <w:t>del trimestre t + 1,</w:t>
      </w:r>
      <w:r w:rsidR="005B7827" w:rsidRPr="0088100F">
        <w:rPr>
          <w:rFonts w:asciiTheme="minorHAnsi" w:hAnsiTheme="minorHAnsi" w:cstheme="minorHAnsi"/>
        </w:rPr>
        <w:t xml:space="preserve"> e saranno relative alle pratiche di rimborso richieste nel trimestre</w:t>
      </w:r>
      <w:r w:rsidR="00B6681C" w:rsidRPr="0088100F">
        <w:rPr>
          <w:rFonts w:asciiTheme="minorHAnsi" w:hAnsiTheme="minorHAnsi" w:cstheme="minorHAnsi"/>
        </w:rPr>
        <w:t xml:space="preserve"> (t)</w:t>
      </w:r>
      <w:r w:rsidR="005B7827" w:rsidRPr="0088100F">
        <w:rPr>
          <w:rFonts w:asciiTheme="minorHAnsi" w:hAnsiTheme="minorHAnsi" w:cstheme="minorHAnsi"/>
        </w:rPr>
        <w:t xml:space="preserve"> precedente, tramite comunicazione alla </w:t>
      </w:r>
      <w:r w:rsidR="005B7827" w:rsidRPr="0088100F">
        <w:rPr>
          <w:rFonts w:asciiTheme="minorHAnsi" w:hAnsiTheme="minorHAnsi" w:cstheme="minorHAnsi"/>
        </w:rPr>
        <w:lastRenderedPageBreak/>
        <w:t xml:space="preserve">Società di Vendita a mezzo </w:t>
      </w:r>
      <w:proofErr w:type="spellStart"/>
      <w:r w:rsidR="005B7827" w:rsidRPr="0088100F">
        <w:rPr>
          <w:rFonts w:asciiTheme="minorHAnsi" w:hAnsiTheme="minorHAnsi" w:cstheme="minorHAnsi"/>
        </w:rPr>
        <w:t>pec</w:t>
      </w:r>
      <w:proofErr w:type="spellEnd"/>
      <w:r w:rsidR="005B7827" w:rsidRPr="0088100F">
        <w:rPr>
          <w:rFonts w:asciiTheme="minorHAnsi" w:hAnsiTheme="minorHAnsi" w:cstheme="minorHAnsi"/>
        </w:rPr>
        <w:t xml:space="preserve"> contenente un elenco analitico dei clienti da verificare secondo template condiviso (</w:t>
      </w:r>
      <w:r w:rsidR="005B7827" w:rsidRPr="0088100F">
        <w:rPr>
          <w:rFonts w:asciiTheme="minorHAnsi" w:hAnsiTheme="minorHAnsi" w:cstheme="minorHAnsi"/>
          <w:b/>
          <w:bCs/>
        </w:rPr>
        <w:t xml:space="preserve">Allegato </w:t>
      </w:r>
      <w:r w:rsidR="00F66F42" w:rsidRPr="0088100F">
        <w:rPr>
          <w:rFonts w:asciiTheme="minorHAnsi" w:hAnsiTheme="minorHAnsi" w:cstheme="minorHAnsi"/>
          <w:b/>
          <w:bCs/>
        </w:rPr>
        <w:t>5</w:t>
      </w:r>
      <w:r w:rsidR="005B7827" w:rsidRPr="0088100F">
        <w:rPr>
          <w:rFonts w:asciiTheme="minorHAnsi" w:hAnsiTheme="minorHAnsi" w:cstheme="minorHAnsi"/>
        </w:rPr>
        <w:t>).</w:t>
      </w:r>
    </w:p>
    <w:p w14:paraId="2B37E3F1" w14:textId="44B3AA03" w:rsidR="00344D83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Gli importi saranno addebitati a Medea mediante fattura mensile emessa dalla </w:t>
      </w:r>
      <w:proofErr w:type="spellStart"/>
      <w:r w:rsidRPr="0088100F">
        <w:rPr>
          <w:rFonts w:asciiTheme="minorHAnsi" w:hAnsiTheme="minorHAnsi" w:cstheme="minorHAnsi"/>
        </w:rPr>
        <w:t>Societa</w:t>
      </w:r>
      <w:proofErr w:type="spellEnd"/>
      <w:r w:rsidRPr="0088100F">
        <w:rPr>
          <w:rFonts w:asciiTheme="minorHAnsi" w:hAnsiTheme="minorHAnsi" w:cstheme="minorHAnsi"/>
        </w:rPr>
        <w:t>̀ di Vendita e liquidata con scadenza fine mese data emissione fattura. In alternativa</w:t>
      </w:r>
      <w:r w:rsidR="00B664A3" w:rsidRPr="0088100F">
        <w:rPr>
          <w:rFonts w:asciiTheme="minorHAnsi" w:hAnsiTheme="minorHAnsi" w:cstheme="minorHAnsi"/>
        </w:rPr>
        <w:t>,</w:t>
      </w:r>
      <w:r w:rsidRPr="0088100F">
        <w:rPr>
          <w:rFonts w:asciiTheme="minorHAnsi" w:hAnsiTheme="minorHAnsi" w:cstheme="minorHAnsi"/>
        </w:rPr>
        <w:t xml:space="preserve"> la fattura </w:t>
      </w:r>
      <w:proofErr w:type="spellStart"/>
      <w:r w:rsidRPr="0088100F">
        <w:rPr>
          <w:rFonts w:asciiTheme="minorHAnsi" w:hAnsiTheme="minorHAnsi" w:cstheme="minorHAnsi"/>
        </w:rPr>
        <w:t>potra</w:t>
      </w:r>
      <w:proofErr w:type="spellEnd"/>
      <w:r w:rsidRPr="0088100F">
        <w:rPr>
          <w:rFonts w:asciiTheme="minorHAnsi" w:hAnsiTheme="minorHAnsi" w:cstheme="minorHAnsi"/>
        </w:rPr>
        <w:t xml:space="preserve">̀ essere compensata finanziariamente con le fatture relative al servizio di distribuzione. </w:t>
      </w:r>
    </w:p>
    <w:p w14:paraId="078B6B61" w14:textId="317F55A1" w:rsidR="00BE07A2" w:rsidRPr="0088100F" w:rsidRDefault="00BE07A2" w:rsidP="00B664A3">
      <w:pPr>
        <w:pStyle w:val="NormaleWeb"/>
        <w:numPr>
          <w:ilvl w:val="0"/>
          <w:numId w:val="1"/>
        </w:numPr>
        <w:spacing w:before="120" w:beforeAutospacing="0" w:after="120" w:afterAutospacing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Si riepilogano di seguito le tempistiche: </w:t>
      </w:r>
    </w:p>
    <w:p w14:paraId="0AA32C5A" w14:textId="3531268C" w:rsidR="00BE07A2" w:rsidRPr="0088100F" w:rsidRDefault="00BE07A2" w:rsidP="00BA54CF">
      <w:pPr>
        <w:numPr>
          <w:ilvl w:val="1"/>
          <w:numId w:val="1"/>
        </w:numPr>
        <w:spacing w:line="240" w:lineRule="exact"/>
        <w:jc w:val="both"/>
        <w:rPr>
          <w:rFonts w:eastAsia="Times New Roman" w:cstheme="minorHAnsi"/>
          <w:color w:val="000000"/>
          <w:lang w:eastAsia="it-IT"/>
        </w:rPr>
      </w:pPr>
      <w:r w:rsidRPr="0088100F">
        <w:rPr>
          <w:rFonts w:eastAsia="Times New Roman" w:cstheme="minorHAnsi"/>
          <w:color w:val="000000"/>
          <w:lang w:eastAsia="it-IT"/>
        </w:rPr>
        <w:t xml:space="preserve">invio della società di vendita del file riepilogativo, fatture e documentazione probatoria, entro </w:t>
      </w:r>
      <w:r w:rsidR="00AB1820" w:rsidRPr="0088100F">
        <w:rPr>
          <w:rFonts w:eastAsia="Times New Roman" w:cstheme="minorHAnsi"/>
          <w:color w:val="000000"/>
          <w:lang w:eastAsia="it-IT"/>
        </w:rPr>
        <w:t>i primi 5 giorni del mese n</w:t>
      </w:r>
      <w:r w:rsidR="00800BEC" w:rsidRPr="0088100F">
        <w:rPr>
          <w:rFonts w:eastAsia="Times New Roman" w:cstheme="minorHAnsi"/>
          <w:color w:val="000000"/>
          <w:lang w:eastAsia="it-IT"/>
        </w:rPr>
        <w:t>+1</w:t>
      </w:r>
      <w:r w:rsidRPr="0088100F">
        <w:rPr>
          <w:rFonts w:eastAsia="Times New Roman" w:cstheme="minorHAnsi"/>
          <w:color w:val="000000"/>
          <w:lang w:eastAsia="it-IT"/>
        </w:rPr>
        <w:t>;</w:t>
      </w:r>
    </w:p>
    <w:p w14:paraId="30E93071" w14:textId="63E48F4F" w:rsidR="00BE07A2" w:rsidRPr="0088100F" w:rsidRDefault="00BE07A2" w:rsidP="00BA54CF">
      <w:pPr>
        <w:numPr>
          <w:ilvl w:val="1"/>
          <w:numId w:val="1"/>
        </w:numPr>
        <w:spacing w:line="240" w:lineRule="exact"/>
        <w:jc w:val="both"/>
        <w:rPr>
          <w:rFonts w:eastAsia="Times New Roman" w:cstheme="minorHAnsi"/>
          <w:color w:val="000000"/>
          <w:lang w:eastAsia="it-IT"/>
        </w:rPr>
      </w:pPr>
      <w:r w:rsidRPr="0088100F">
        <w:rPr>
          <w:rFonts w:eastAsia="Times New Roman" w:cstheme="minorHAnsi"/>
          <w:color w:val="000000"/>
          <w:lang w:eastAsia="it-IT"/>
        </w:rPr>
        <w:t>controllo documentazione a carico del</w:t>
      </w:r>
      <w:r w:rsidR="00ED0081" w:rsidRPr="0088100F">
        <w:rPr>
          <w:rFonts w:eastAsia="Times New Roman" w:cstheme="minorHAnsi"/>
          <w:color w:val="000000"/>
          <w:lang w:eastAsia="it-IT"/>
        </w:rPr>
        <w:t xml:space="preserve">la </w:t>
      </w:r>
      <w:proofErr w:type="gramStart"/>
      <w:r w:rsidR="00ED0081" w:rsidRPr="0088100F">
        <w:rPr>
          <w:rFonts w:eastAsia="Times New Roman" w:cstheme="minorHAnsi"/>
          <w:color w:val="000000"/>
          <w:lang w:eastAsia="it-IT"/>
        </w:rPr>
        <w:t xml:space="preserve">funzione </w:t>
      </w:r>
      <w:r w:rsidRPr="0088100F">
        <w:rPr>
          <w:rFonts w:eastAsia="Times New Roman" w:cstheme="minorHAnsi"/>
          <w:color w:val="000000"/>
          <w:lang w:eastAsia="it-IT"/>
        </w:rPr>
        <w:t xml:space="preserve"> Commerciale</w:t>
      </w:r>
      <w:proofErr w:type="gramEnd"/>
      <w:r w:rsidRPr="0088100F">
        <w:rPr>
          <w:rFonts w:eastAsia="Times New Roman" w:cstheme="minorHAnsi"/>
          <w:color w:val="000000"/>
          <w:lang w:eastAsia="it-IT"/>
        </w:rPr>
        <w:t xml:space="preserve"> </w:t>
      </w:r>
      <w:r w:rsidR="00ED0081" w:rsidRPr="0088100F">
        <w:rPr>
          <w:rFonts w:eastAsia="Times New Roman" w:cstheme="minorHAnsi"/>
          <w:color w:val="000000"/>
          <w:lang w:eastAsia="it-IT"/>
        </w:rPr>
        <w:t xml:space="preserve">di </w:t>
      </w:r>
      <w:r w:rsidRPr="0088100F">
        <w:rPr>
          <w:rFonts w:eastAsia="Times New Roman" w:cstheme="minorHAnsi"/>
          <w:color w:val="000000"/>
          <w:lang w:eastAsia="it-IT"/>
        </w:rPr>
        <w:t>Medea entro il 1</w:t>
      </w:r>
      <w:r w:rsidR="00800BEC" w:rsidRPr="0088100F">
        <w:rPr>
          <w:rFonts w:eastAsia="Times New Roman" w:cstheme="minorHAnsi"/>
          <w:color w:val="000000"/>
          <w:lang w:eastAsia="it-IT"/>
        </w:rPr>
        <w:t>5</w:t>
      </w:r>
      <w:r w:rsidRPr="0088100F">
        <w:rPr>
          <w:rFonts w:eastAsia="Times New Roman" w:cstheme="minorHAnsi"/>
          <w:color w:val="000000"/>
          <w:lang w:eastAsia="it-IT"/>
        </w:rPr>
        <w:t xml:space="preserve"> del mese </w:t>
      </w:r>
      <w:r w:rsidR="00F66F42" w:rsidRPr="0088100F">
        <w:rPr>
          <w:rFonts w:eastAsia="Times New Roman" w:cstheme="minorHAnsi"/>
          <w:color w:val="000000"/>
          <w:lang w:eastAsia="it-IT"/>
        </w:rPr>
        <w:t>n</w:t>
      </w:r>
      <w:r w:rsidRPr="0088100F">
        <w:rPr>
          <w:rFonts w:eastAsia="Times New Roman" w:cstheme="minorHAnsi"/>
          <w:color w:val="000000"/>
          <w:lang w:eastAsia="it-IT"/>
        </w:rPr>
        <w:t>+1;</w:t>
      </w:r>
    </w:p>
    <w:p w14:paraId="7CF43E48" w14:textId="7B6E8939" w:rsidR="00BE07A2" w:rsidRPr="0088100F" w:rsidRDefault="00BE07A2" w:rsidP="00BA54CF">
      <w:pPr>
        <w:numPr>
          <w:ilvl w:val="1"/>
          <w:numId w:val="1"/>
        </w:numPr>
        <w:spacing w:line="240" w:lineRule="exact"/>
        <w:jc w:val="both"/>
        <w:rPr>
          <w:rFonts w:eastAsia="Times New Roman" w:cstheme="minorHAnsi"/>
          <w:color w:val="000000"/>
          <w:lang w:eastAsia="it-IT"/>
        </w:rPr>
      </w:pPr>
      <w:r w:rsidRPr="0088100F">
        <w:rPr>
          <w:rFonts w:eastAsia="Times New Roman" w:cstheme="minorHAnsi"/>
          <w:color w:val="000000"/>
          <w:lang w:eastAsia="it-IT"/>
        </w:rPr>
        <w:t xml:space="preserve">emissione della fattura da parte della società di vendita entro il </w:t>
      </w:r>
      <w:r w:rsidR="00800BEC" w:rsidRPr="0088100F">
        <w:rPr>
          <w:rFonts w:eastAsia="Times New Roman" w:cstheme="minorHAnsi"/>
          <w:color w:val="000000"/>
          <w:lang w:eastAsia="it-IT"/>
        </w:rPr>
        <w:t xml:space="preserve">20 </w:t>
      </w:r>
      <w:r w:rsidRPr="0088100F">
        <w:rPr>
          <w:rFonts w:eastAsia="Times New Roman" w:cstheme="minorHAnsi"/>
          <w:color w:val="000000"/>
          <w:lang w:eastAsia="it-IT"/>
        </w:rPr>
        <w:t xml:space="preserve">del mese </w:t>
      </w:r>
      <w:r w:rsidR="00F66F42" w:rsidRPr="0088100F">
        <w:rPr>
          <w:rFonts w:eastAsia="Times New Roman" w:cstheme="minorHAnsi"/>
          <w:color w:val="000000"/>
          <w:lang w:eastAsia="it-IT"/>
        </w:rPr>
        <w:t>n</w:t>
      </w:r>
      <w:r w:rsidRPr="0088100F">
        <w:rPr>
          <w:rFonts w:eastAsia="Times New Roman" w:cstheme="minorHAnsi"/>
          <w:color w:val="000000"/>
          <w:lang w:eastAsia="it-IT"/>
        </w:rPr>
        <w:t>+1.</w:t>
      </w:r>
    </w:p>
    <w:p w14:paraId="62B26C8C" w14:textId="77777777" w:rsidR="00501222" w:rsidRPr="0088100F" w:rsidRDefault="00501222" w:rsidP="00BE07A2">
      <w:pPr>
        <w:pStyle w:val="NormaleWeb"/>
        <w:ind w:left="5664"/>
        <w:jc w:val="both"/>
        <w:rPr>
          <w:rFonts w:asciiTheme="minorHAnsi" w:hAnsiTheme="minorHAnsi" w:cstheme="minorHAnsi"/>
        </w:rPr>
      </w:pPr>
    </w:p>
    <w:p w14:paraId="4A4057BB" w14:textId="583A0E64" w:rsidR="00501222" w:rsidRPr="0088100F" w:rsidRDefault="00BC2EF5" w:rsidP="00692DDB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 data</w:t>
      </w:r>
    </w:p>
    <w:p w14:paraId="41064B30" w14:textId="71FB217B" w:rsidR="00BE07A2" w:rsidRPr="0088100F" w:rsidRDefault="00BE07A2" w:rsidP="00BE07A2">
      <w:pPr>
        <w:pStyle w:val="NormaleWeb"/>
        <w:ind w:left="5664"/>
        <w:jc w:val="both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 xml:space="preserve">Per accettazione </w:t>
      </w:r>
    </w:p>
    <w:p w14:paraId="33BFB314" w14:textId="46D32025" w:rsidR="00C76CD7" w:rsidRPr="0088100F" w:rsidRDefault="00BE07A2" w:rsidP="00C732B0">
      <w:pPr>
        <w:pStyle w:val="NormaleWeb"/>
        <w:ind w:left="5664"/>
        <w:jc w:val="center"/>
        <w:rPr>
          <w:rFonts w:asciiTheme="minorHAnsi" w:hAnsiTheme="minorHAnsi" w:cstheme="minorHAnsi"/>
        </w:rPr>
      </w:pPr>
      <w:r w:rsidRPr="0088100F">
        <w:rPr>
          <w:rFonts w:asciiTheme="minorHAnsi" w:hAnsiTheme="minorHAnsi" w:cstheme="minorHAnsi"/>
        </w:rPr>
        <w:t>______Firma_______</w:t>
      </w:r>
      <w:r w:rsidRPr="0088100F">
        <w:rPr>
          <w:rFonts w:asciiTheme="minorHAnsi" w:hAnsiTheme="minorHAnsi" w:cstheme="minorHAnsi"/>
        </w:rPr>
        <w:br/>
        <w:t>(</w:t>
      </w:r>
      <w:r w:rsidR="00C732B0" w:rsidRPr="00C732B0">
        <w:rPr>
          <w:rFonts w:asciiTheme="minorHAnsi" w:hAnsiTheme="minorHAnsi" w:cstheme="minorHAnsi"/>
        </w:rPr>
        <w:t>per conto di nome della società di vendita</w:t>
      </w:r>
      <w:r w:rsidR="00C76CD7" w:rsidRPr="0088100F">
        <w:rPr>
          <w:rFonts w:asciiTheme="minorHAnsi" w:hAnsiTheme="minorHAnsi" w:cstheme="minorHAnsi"/>
        </w:rPr>
        <w:t>)</w:t>
      </w:r>
    </w:p>
    <w:p w14:paraId="687F9416" w14:textId="77777777" w:rsidR="00AB73B0" w:rsidRDefault="00AB73B0" w:rsidP="00D455EB">
      <w:pPr>
        <w:rPr>
          <w:rFonts w:cstheme="minorHAnsi"/>
          <w:b/>
          <w:bCs/>
        </w:rPr>
      </w:pPr>
    </w:p>
    <w:p w14:paraId="21F00D4C" w14:textId="77777777" w:rsidR="00AB73B0" w:rsidRDefault="00AB73B0" w:rsidP="00D455EB">
      <w:pPr>
        <w:rPr>
          <w:rFonts w:cstheme="minorHAnsi"/>
          <w:b/>
          <w:bCs/>
        </w:rPr>
      </w:pPr>
    </w:p>
    <w:p w14:paraId="1B0DEDFB" w14:textId="77777777" w:rsidR="00AB73B0" w:rsidRDefault="00AB73B0" w:rsidP="00D455EB">
      <w:pPr>
        <w:rPr>
          <w:rFonts w:cstheme="minorHAnsi"/>
          <w:b/>
          <w:bCs/>
        </w:rPr>
      </w:pPr>
    </w:p>
    <w:p w14:paraId="510F3DB5" w14:textId="77777777" w:rsidR="00AB73B0" w:rsidRDefault="00AB73B0" w:rsidP="00D455EB">
      <w:pPr>
        <w:rPr>
          <w:rFonts w:cstheme="minorHAnsi"/>
          <w:b/>
          <w:bCs/>
        </w:rPr>
      </w:pPr>
    </w:p>
    <w:p w14:paraId="324DB9A3" w14:textId="77777777" w:rsidR="00AB73B0" w:rsidRDefault="00AB73B0" w:rsidP="00D455EB">
      <w:pPr>
        <w:rPr>
          <w:rFonts w:cstheme="minorHAnsi"/>
          <w:b/>
          <w:bCs/>
        </w:rPr>
      </w:pPr>
    </w:p>
    <w:p w14:paraId="6720DDDE" w14:textId="77777777" w:rsidR="00AB73B0" w:rsidRDefault="00AB73B0" w:rsidP="00D455EB">
      <w:pPr>
        <w:rPr>
          <w:rFonts w:cstheme="minorHAnsi"/>
          <w:b/>
          <w:bCs/>
        </w:rPr>
      </w:pPr>
    </w:p>
    <w:p w14:paraId="77753C97" w14:textId="77777777" w:rsidR="00AB73B0" w:rsidRDefault="00AB73B0" w:rsidP="00D455EB">
      <w:pPr>
        <w:rPr>
          <w:rFonts w:cstheme="minorHAnsi"/>
          <w:b/>
          <w:bCs/>
        </w:rPr>
      </w:pPr>
    </w:p>
    <w:p w14:paraId="5ACC0663" w14:textId="77777777" w:rsidR="00AB73B0" w:rsidRDefault="00AB73B0" w:rsidP="00D455EB">
      <w:pPr>
        <w:rPr>
          <w:rFonts w:cstheme="minorHAnsi"/>
          <w:b/>
          <w:bCs/>
        </w:rPr>
      </w:pPr>
    </w:p>
    <w:p w14:paraId="78343294" w14:textId="77777777" w:rsidR="00AB73B0" w:rsidRDefault="00AB73B0" w:rsidP="00D455EB">
      <w:pPr>
        <w:rPr>
          <w:rFonts w:cstheme="minorHAnsi"/>
          <w:b/>
          <w:bCs/>
        </w:rPr>
      </w:pPr>
    </w:p>
    <w:p w14:paraId="658FCDA8" w14:textId="77777777" w:rsidR="00AB73B0" w:rsidRDefault="00AB73B0" w:rsidP="00D455EB">
      <w:pPr>
        <w:rPr>
          <w:rFonts w:cstheme="minorHAnsi"/>
          <w:b/>
          <w:bCs/>
        </w:rPr>
      </w:pPr>
    </w:p>
    <w:p w14:paraId="78263F8D" w14:textId="77777777" w:rsidR="00AB73B0" w:rsidRDefault="00AB73B0" w:rsidP="00D455EB">
      <w:pPr>
        <w:rPr>
          <w:rFonts w:cstheme="minorHAnsi"/>
          <w:b/>
          <w:bCs/>
        </w:rPr>
      </w:pPr>
    </w:p>
    <w:p w14:paraId="1A444329" w14:textId="77777777" w:rsidR="00AB73B0" w:rsidRDefault="00AB73B0" w:rsidP="00D455EB">
      <w:pPr>
        <w:rPr>
          <w:rFonts w:cstheme="minorHAnsi"/>
          <w:b/>
          <w:bCs/>
        </w:rPr>
      </w:pPr>
    </w:p>
    <w:p w14:paraId="42323D3B" w14:textId="77777777" w:rsidR="00AB73B0" w:rsidRDefault="00AB73B0" w:rsidP="00D455EB">
      <w:pPr>
        <w:rPr>
          <w:rFonts w:cstheme="minorHAnsi"/>
          <w:b/>
          <w:bCs/>
        </w:rPr>
      </w:pPr>
    </w:p>
    <w:p w14:paraId="3E7178D3" w14:textId="77777777" w:rsidR="00AB73B0" w:rsidRDefault="00AB73B0" w:rsidP="00D455EB">
      <w:pPr>
        <w:rPr>
          <w:rFonts w:cstheme="minorHAnsi"/>
          <w:b/>
          <w:bCs/>
        </w:rPr>
      </w:pPr>
    </w:p>
    <w:p w14:paraId="696D3BF1" w14:textId="77777777" w:rsidR="00AB73B0" w:rsidRDefault="00AB73B0" w:rsidP="00D455EB">
      <w:pPr>
        <w:rPr>
          <w:rFonts w:cstheme="minorHAnsi"/>
          <w:b/>
          <w:bCs/>
        </w:rPr>
      </w:pPr>
    </w:p>
    <w:p w14:paraId="353D29D3" w14:textId="77777777" w:rsidR="00AB73B0" w:rsidRDefault="00AB73B0" w:rsidP="00D455EB">
      <w:pPr>
        <w:rPr>
          <w:rFonts w:cstheme="minorHAnsi"/>
          <w:b/>
          <w:bCs/>
        </w:rPr>
      </w:pPr>
    </w:p>
    <w:sectPr w:rsidR="00AB73B0" w:rsidSect="0092057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134" w:bottom="1134" w:left="1134" w:header="102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0B67" w14:textId="77777777" w:rsidR="00584ABE" w:rsidRDefault="00584ABE" w:rsidP="00C76CD7">
      <w:r>
        <w:separator/>
      </w:r>
    </w:p>
  </w:endnote>
  <w:endnote w:type="continuationSeparator" w:id="0">
    <w:p w14:paraId="2ED570D9" w14:textId="77777777" w:rsidR="00584ABE" w:rsidRDefault="00584ABE" w:rsidP="00C7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1CA1" w14:textId="42D2CEE2" w:rsidR="00501222" w:rsidRDefault="00A438C5" w:rsidP="00294A5F">
    <w:pPr>
      <w:pStyle w:val="Pidipagina"/>
      <w:framePr w:wrap="none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C5786AD" wp14:editId="71F841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Casella di testo 4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ECCB4" w14:textId="247FE5A4" w:rsidR="00A438C5" w:rsidRPr="00A438C5" w:rsidRDefault="00A438C5" w:rsidP="00A43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3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786A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1 Confident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1D7ECCB4" w14:textId="247FE5A4" w:rsidR="00A438C5" w:rsidRPr="00A438C5" w:rsidRDefault="00A438C5" w:rsidP="00A43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3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umeropagina"/>
      </w:rPr>
      <w:id w:val="-1928954522"/>
      <w:docPartObj>
        <w:docPartGallery w:val="Page Numbers (Bottom of Page)"/>
        <w:docPartUnique/>
      </w:docPartObj>
    </w:sdtPr>
    <w:sdtContent>
      <w:p w14:paraId="26E467C1" w14:textId="77777777" w:rsidR="00501222" w:rsidRDefault="00501222" w:rsidP="00294A5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FA0220A" w14:textId="0CD3B540" w:rsidR="00C76CD7" w:rsidRDefault="00C76CD7" w:rsidP="005012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10C5" w14:textId="766CFA5A" w:rsidR="00501222" w:rsidRDefault="00A438C5" w:rsidP="00294A5F">
    <w:pPr>
      <w:pStyle w:val="Pidipagina"/>
      <w:framePr w:wrap="none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DCD3965" wp14:editId="77BC3068">
              <wp:simplePos x="6762750" y="9401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Casella di testo 5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78BE6" w14:textId="311ECF92" w:rsidR="00A438C5" w:rsidRPr="00A438C5" w:rsidRDefault="00A438C5" w:rsidP="00A43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3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D3965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1 Confident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5DD78BE6" w14:textId="311ECF92" w:rsidR="00A438C5" w:rsidRPr="00A438C5" w:rsidRDefault="00A438C5" w:rsidP="00A43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3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umeropagina"/>
        </w:rPr>
        <w:id w:val="595750800"/>
        <w:docPartObj>
          <w:docPartGallery w:val="Page Numbers (Bottom of Page)"/>
          <w:docPartUnique/>
        </w:docPartObj>
      </w:sdtPr>
      <w:sdtContent>
        <w:r w:rsidR="00501222">
          <w:rPr>
            <w:rStyle w:val="Numeropagina"/>
          </w:rPr>
          <w:fldChar w:fldCharType="begin"/>
        </w:r>
        <w:r w:rsidR="00501222">
          <w:rPr>
            <w:rStyle w:val="Numeropagina"/>
          </w:rPr>
          <w:instrText xml:space="preserve"> PAGE </w:instrText>
        </w:r>
        <w:r w:rsidR="00501222">
          <w:rPr>
            <w:rStyle w:val="Numeropagina"/>
          </w:rPr>
          <w:fldChar w:fldCharType="separate"/>
        </w:r>
        <w:r w:rsidR="00501222">
          <w:rPr>
            <w:rStyle w:val="Numeropagina"/>
            <w:noProof/>
          </w:rPr>
          <w:t>3</w:t>
        </w:r>
        <w:r w:rsidR="00501222">
          <w:rPr>
            <w:rStyle w:val="Numeropagina"/>
          </w:rPr>
          <w:fldChar w:fldCharType="end"/>
        </w:r>
      </w:sdtContent>
    </w:sdt>
  </w:p>
  <w:p w14:paraId="047E3B2D" w14:textId="41FB28D4" w:rsidR="009922DB" w:rsidRPr="00795EB2" w:rsidRDefault="009922DB" w:rsidP="00501222">
    <w:pPr>
      <w:pStyle w:val="Pidipagina"/>
      <w:ind w:right="360"/>
      <w:jc w:val="center"/>
      <w:rPr>
        <w:rFonts w:ascii="Arial" w:hAnsi="Arial"/>
        <w:sz w:val="14"/>
      </w:rPr>
    </w:pPr>
  </w:p>
  <w:p w14:paraId="3E7C6251" w14:textId="5B5A1D7D" w:rsidR="00C76CD7" w:rsidRDefault="00B42D6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B0CD90" wp14:editId="1A5CAB73">
              <wp:simplePos x="0" y="0"/>
              <wp:positionH relativeFrom="column">
                <wp:posOffset>705322</wp:posOffset>
              </wp:positionH>
              <wp:positionV relativeFrom="paragraph">
                <wp:posOffset>138430</wp:posOffset>
              </wp:positionV>
              <wp:extent cx="4655185" cy="930275"/>
              <wp:effectExtent l="0" t="0" r="0" b="0"/>
              <wp:wrapNone/>
              <wp:docPr id="9279007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55185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D3E09" w14:textId="77777777" w:rsidR="009922DB" w:rsidRPr="006C74D3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</w:rPr>
                            <w:t>Medea</w:t>
                          </w:r>
                          <w:r w:rsidRPr="006C74D3"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</w:rPr>
                            <w:t xml:space="preserve"> S.p.A.</w:t>
                          </w:r>
                        </w:p>
                        <w:p w14:paraId="5DA1C937" w14:textId="77777777" w:rsidR="009922DB" w:rsidRPr="00D71CE1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Sede Legale: 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Localit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à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Predda Niedda Strada Sn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c, 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Strada 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n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.1 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a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ngolo Strada 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n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- </w:t>
                          </w:r>
                          <w:r w:rsidRPr="00F1625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07100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Sassari (SS)</w:t>
                          </w:r>
                        </w:p>
                        <w:p w14:paraId="22B13D0A" w14:textId="77777777" w:rsidR="009922DB" w:rsidRPr="00BE5E06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BE5E06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Capitale sociale </w:t>
                          </w:r>
                          <w:proofErr w:type="gramStart"/>
                          <w:r w:rsidRPr="00BE5E06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Euro</w:t>
                          </w:r>
                          <w:proofErr w:type="gramEnd"/>
                          <w:r w:rsidRPr="00BE5E06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95.500.000,00 interamente sottoscritto e versato</w:t>
                          </w:r>
                        </w:p>
                        <w:p w14:paraId="047F7E5B" w14:textId="77777777" w:rsidR="009922DB" w:rsidRPr="00D71CE1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Codice Fiscale e Numero Iscrizione Registro Imprese: SS 01620680924</w:t>
                          </w:r>
                          <w:r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-</w:t>
                          </w: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P.I. 01854250907</w:t>
                          </w:r>
                        </w:p>
                        <w:p w14:paraId="2A1F14BE" w14:textId="77777777" w:rsidR="009922DB" w:rsidRPr="00D71CE1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Società aderente al "Gruppo IVA Italgas" P.I. 10538260968</w:t>
                          </w:r>
                        </w:p>
                        <w:p w14:paraId="056B92E5" w14:textId="77777777" w:rsidR="009922DB" w:rsidRPr="00D71CE1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Società soggetta all’attività di direzione e coordinamento di Italgas S.p.A.</w:t>
                          </w:r>
                        </w:p>
                        <w:p w14:paraId="0AEF14D1" w14:textId="77777777" w:rsidR="009922DB" w:rsidRPr="006C74D3" w:rsidRDefault="009922DB" w:rsidP="009922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D71CE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>www.medeagas.it</w:t>
                          </w:r>
                          <w:r w:rsidRPr="006C74D3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0FE3D31" w14:textId="77777777" w:rsidR="009922DB" w:rsidRDefault="009922DB" w:rsidP="009922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0CD90" id="Casella di testo 2" o:spid="_x0000_s1028" type="#_x0000_t202" style="position:absolute;margin-left:55.55pt;margin-top:10.9pt;width:366.55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" filled="f" stroked="f">
              <v:textbox inset="0,0,0,0">
                <w:txbxContent>
                  <w:p w14:paraId="57DD3E09" w14:textId="77777777" w:rsidR="009922DB" w:rsidRPr="006C74D3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</w:rPr>
                      <w:t>Medea</w:t>
                    </w:r>
                    <w:r w:rsidRPr="006C74D3"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</w:rPr>
                      <w:t xml:space="preserve"> S.p.A.</w:t>
                    </w:r>
                  </w:p>
                  <w:p w14:paraId="5DA1C937" w14:textId="77777777" w:rsidR="009922DB" w:rsidRPr="00D71CE1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Sede Legale: 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Localit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à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Predda Niedda Strada Sn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c, 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Strada 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n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.1 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a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ngolo Strada 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n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.2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- </w:t>
                    </w:r>
                    <w:r w:rsidRPr="00F1625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07100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</w:t>
                    </w: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Sassari (SS)</w:t>
                    </w:r>
                  </w:p>
                  <w:p w14:paraId="22B13D0A" w14:textId="77777777" w:rsidR="009922DB" w:rsidRPr="00BE5E06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BE5E06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Capitale sociale </w:t>
                    </w:r>
                    <w:proofErr w:type="gramStart"/>
                    <w:r w:rsidRPr="00BE5E06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Euro</w:t>
                    </w:r>
                    <w:proofErr w:type="gramEnd"/>
                    <w:r w:rsidRPr="00BE5E06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95.500.000,00 interamente sottoscritto e versato</w:t>
                    </w:r>
                  </w:p>
                  <w:p w14:paraId="047F7E5B" w14:textId="77777777" w:rsidR="009922DB" w:rsidRPr="00D71CE1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Codice Fiscale e Numero Iscrizione Registro Imprese: SS 01620680924</w:t>
                    </w:r>
                    <w:r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-</w:t>
                    </w: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P.I. 01854250907</w:t>
                    </w:r>
                  </w:p>
                  <w:p w14:paraId="2A1F14BE" w14:textId="77777777" w:rsidR="009922DB" w:rsidRPr="00D71CE1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Società aderente al "Gruppo IVA Italgas" P.I. 10538260968</w:t>
                    </w:r>
                  </w:p>
                  <w:p w14:paraId="056B92E5" w14:textId="77777777" w:rsidR="009922DB" w:rsidRPr="00D71CE1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Società soggetta all’attività di direzione e coordinamento di Italgas S.p.A.</w:t>
                    </w:r>
                  </w:p>
                  <w:p w14:paraId="0AEF14D1" w14:textId="77777777" w:rsidR="009922DB" w:rsidRPr="006C74D3" w:rsidRDefault="009922DB" w:rsidP="009922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D71CE1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>www.medeagas.it</w:t>
                    </w:r>
                    <w:r w:rsidRPr="006C74D3"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  <w:t xml:space="preserve"> </w:t>
                    </w:r>
                  </w:p>
                  <w:p w14:paraId="10FE3D31" w14:textId="77777777" w:rsidR="009922DB" w:rsidRDefault="009922DB" w:rsidP="009922D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D3AF" w14:textId="25190237" w:rsidR="00C76CD7" w:rsidRDefault="00A438C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76D078" wp14:editId="31C917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Casella di testo 3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1E2BA" w14:textId="3023C10E" w:rsidR="00A438C5" w:rsidRPr="00A438C5" w:rsidRDefault="00A438C5" w:rsidP="00A43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3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6D07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alt="C1 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33C1E2BA" w14:textId="3023C10E" w:rsidR="00A438C5" w:rsidRPr="00A438C5" w:rsidRDefault="00A438C5" w:rsidP="00A43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3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E97E" w14:textId="77777777" w:rsidR="00584ABE" w:rsidRDefault="00584ABE" w:rsidP="00C76CD7">
      <w:r>
        <w:separator/>
      </w:r>
    </w:p>
  </w:footnote>
  <w:footnote w:type="continuationSeparator" w:id="0">
    <w:p w14:paraId="4DAD9D1F" w14:textId="77777777" w:rsidR="00584ABE" w:rsidRDefault="00584ABE" w:rsidP="00C7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A1B7" w14:textId="0E29EC74" w:rsidR="008B0BB9" w:rsidRDefault="00EA3D9F" w:rsidP="008B0BB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52F68A" wp14:editId="130B129E">
          <wp:simplePos x="0" y="0"/>
          <wp:positionH relativeFrom="column">
            <wp:posOffset>-55367</wp:posOffset>
          </wp:positionH>
          <wp:positionV relativeFrom="page">
            <wp:posOffset>721090</wp:posOffset>
          </wp:positionV>
          <wp:extent cx="1558925" cy="554355"/>
          <wp:effectExtent l="0" t="0" r="0" b="0"/>
          <wp:wrapSquare wrapText="bothSides"/>
          <wp:docPr id="830609074" name="Immagine 830609074" descr="Immagine che contiene testo, Carattere, Elementi grafici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arattere, Elementi grafici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FAE6A" w14:textId="3FA73F08" w:rsidR="008B0BB9" w:rsidRPr="007D0E95" w:rsidRDefault="008B0BB9" w:rsidP="008B0BB9">
    <w:pPr>
      <w:pStyle w:val="Intestazione"/>
    </w:pPr>
  </w:p>
  <w:p w14:paraId="2B0D2625" w14:textId="42DFAAAE" w:rsidR="00B23279" w:rsidRDefault="00B23279">
    <w:pPr>
      <w:pStyle w:val="Intestazione"/>
    </w:pPr>
  </w:p>
  <w:p w14:paraId="2B0DC34F" w14:textId="77777777" w:rsidR="005A3DC5" w:rsidRDefault="005A3DC5">
    <w:pPr>
      <w:pStyle w:val="Intestazione"/>
    </w:pPr>
  </w:p>
  <w:p w14:paraId="0EC5646A" w14:textId="77777777" w:rsidR="005A3DC5" w:rsidRDefault="005A3DC5">
    <w:pPr>
      <w:pStyle w:val="Intestazione"/>
    </w:pPr>
  </w:p>
  <w:p w14:paraId="4F590849" w14:textId="77777777" w:rsidR="005A3DC5" w:rsidRDefault="005A3D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3A0"/>
    <w:multiLevelType w:val="hybridMultilevel"/>
    <w:tmpl w:val="D5D87006"/>
    <w:lvl w:ilvl="0" w:tplc="BCB63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458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A53"/>
    <w:multiLevelType w:val="multilevel"/>
    <w:tmpl w:val="8C3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ED1A99"/>
    <w:multiLevelType w:val="hybridMultilevel"/>
    <w:tmpl w:val="1B726EA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3EC2"/>
    <w:multiLevelType w:val="multilevel"/>
    <w:tmpl w:val="92A0ABA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46274"/>
    <w:multiLevelType w:val="multilevel"/>
    <w:tmpl w:val="82AEECD6"/>
    <w:lvl w:ilvl="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830F1"/>
    <w:multiLevelType w:val="multilevel"/>
    <w:tmpl w:val="9CDC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472404">
    <w:abstractNumId w:val="4"/>
  </w:num>
  <w:num w:numId="2" w16cid:durableId="2061242540">
    <w:abstractNumId w:val="3"/>
  </w:num>
  <w:num w:numId="3" w16cid:durableId="1480154497">
    <w:abstractNumId w:val="1"/>
  </w:num>
  <w:num w:numId="4" w16cid:durableId="384910088">
    <w:abstractNumId w:val="0"/>
  </w:num>
  <w:num w:numId="5" w16cid:durableId="1501657931">
    <w:abstractNumId w:val="2"/>
  </w:num>
  <w:num w:numId="6" w16cid:durableId="37539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D7"/>
    <w:rsid w:val="00007DC5"/>
    <w:rsid w:val="00012D4D"/>
    <w:rsid w:val="00022906"/>
    <w:rsid w:val="000320BE"/>
    <w:rsid w:val="00034B60"/>
    <w:rsid w:val="00042E29"/>
    <w:rsid w:val="0004348E"/>
    <w:rsid w:val="000536AD"/>
    <w:rsid w:val="00077DA9"/>
    <w:rsid w:val="00080AAE"/>
    <w:rsid w:val="00096276"/>
    <w:rsid w:val="000A15BC"/>
    <w:rsid w:val="000A1C3F"/>
    <w:rsid w:val="000A357B"/>
    <w:rsid w:val="000A46F1"/>
    <w:rsid w:val="000B1976"/>
    <w:rsid w:val="000B4E59"/>
    <w:rsid w:val="000B540C"/>
    <w:rsid w:val="000C1FE1"/>
    <w:rsid w:val="000F3853"/>
    <w:rsid w:val="00107FF4"/>
    <w:rsid w:val="00120D12"/>
    <w:rsid w:val="00131EC0"/>
    <w:rsid w:val="00143459"/>
    <w:rsid w:val="00146B11"/>
    <w:rsid w:val="00147A50"/>
    <w:rsid w:val="0015117A"/>
    <w:rsid w:val="00155558"/>
    <w:rsid w:val="00155910"/>
    <w:rsid w:val="001662B3"/>
    <w:rsid w:val="00170815"/>
    <w:rsid w:val="00171BB9"/>
    <w:rsid w:val="00172657"/>
    <w:rsid w:val="001948EF"/>
    <w:rsid w:val="001A3731"/>
    <w:rsid w:val="001A47B4"/>
    <w:rsid w:val="001A6372"/>
    <w:rsid w:val="001B1B75"/>
    <w:rsid w:val="001B3341"/>
    <w:rsid w:val="001D33F0"/>
    <w:rsid w:val="001D4AD7"/>
    <w:rsid w:val="001D51CD"/>
    <w:rsid w:val="001D7B8D"/>
    <w:rsid w:val="001F04A6"/>
    <w:rsid w:val="001F2CC7"/>
    <w:rsid w:val="00212267"/>
    <w:rsid w:val="00213853"/>
    <w:rsid w:val="00214749"/>
    <w:rsid w:val="002231EF"/>
    <w:rsid w:val="002304EC"/>
    <w:rsid w:val="00237C4D"/>
    <w:rsid w:val="00237F97"/>
    <w:rsid w:val="00254022"/>
    <w:rsid w:val="002639A0"/>
    <w:rsid w:val="00274619"/>
    <w:rsid w:val="002838DF"/>
    <w:rsid w:val="002A0315"/>
    <w:rsid w:val="002A78DF"/>
    <w:rsid w:val="002B0C86"/>
    <w:rsid w:val="002B103B"/>
    <w:rsid w:val="002C0410"/>
    <w:rsid w:val="002D0986"/>
    <w:rsid w:val="002D0F8F"/>
    <w:rsid w:val="002E0088"/>
    <w:rsid w:val="002E0437"/>
    <w:rsid w:val="002E1839"/>
    <w:rsid w:val="002E2727"/>
    <w:rsid w:val="00300006"/>
    <w:rsid w:val="00306A4C"/>
    <w:rsid w:val="00307CA4"/>
    <w:rsid w:val="00313C03"/>
    <w:rsid w:val="003158D5"/>
    <w:rsid w:val="00320222"/>
    <w:rsid w:val="00344D83"/>
    <w:rsid w:val="00367D23"/>
    <w:rsid w:val="0039024D"/>
    <w:rsid w:val="00390A24"/>
    <w:rsid w:val="00392B9B"/>
    <w:rsid w:val="00394EE1"/>
    <w:rsid w:val="003A3FD8"/>
    <w:rsid w:val="003B2B23"/>
    <w:rsid w:val="003D0FE5"/>
    <w:rsid w:val="003D3F58"/>
    <w:rsid w:val="003E023B"/>
    <w:rsid w:val="003E1335"/>
    <w:rsid w:val="003E6E6B"/>
    <w:rsid w:val="003F733B"/>
    <w:rsid w:val="00420737"/>
    <w:rsid w:val="00420780"/>
    <w:rsid w:val="00420E81"/>
    <w:rsid w:val="00430FFC"/>
    <w:rsid w:val="004335DD"/>
    <w:rsid w:val="00440E07"/>
    <w:rsid w:val="00454202"/>
    <w:rsid w:val="00487E25"/>
    <w:rsid w:val="00490056"/>
    <w:rsid w:val="00490750"/>
    <w:rsid w:val="00490F62"/>
    <w:rsid w:val="004A2624"/>
    <w:rsid w:val="004A3FF5"/>
    <w:rsid w:val="004A59B5"/>
    <w:rsid w:val="004B69A6"/>
    <w:rsid w:val="004C1B20"/>
    <w:rsid w:val="004C3184"/>
    <w:rsid w:val="004E44CF"/>
    <w:rsid w:val="004E464D"/>
    <w:rsid w:val="004E6C25"/>
    <w:rsid w:val="00501222"/>
    <w:rsid w:val="00520D82"/>
    <w:rsid w:val="00523AD8"/>
    <w:rsid w:val="00534594"/>
    <w:rsid w:val="005635CF"/>
    <w:rsid w:val="0057010D"/>
    <w:rsid w:val="005747FC"/>
    <w:rsid w:val="005772B2"/>
    <w:rsid w:val="00582C30"/>
    <w:rsid w:val="00584ABE"/>
    <w:rsid w:val="0059397D"/>
    <w:rsid w:val="00596D48"/>
    <w:rsid w:val="00597FD1"/>
    <w:rsid w:val="005A3DC5"/>
    <w:rsid w:val="005A61C3"/>
    <w:rsid w:val="005B246A"/>
    <w:rsid w:val="005B7827"/>
    <w:rsid w:val="005C3970"/>
    <w:rsid w:val="005C6509"/>
    <w:rsid w:val="005E5FF0"/>
    <w:rsid w:val="005F291F"/>
    <w:rsid w:val="00601298"/>
    <w:rsid w:val="00602A3E"/>
    <w:rsid w:val="006137E1"/>
    <w:rsid w:val="00620ADA"/>
    <w:rsid w:val="00637F2F"/>
    <w:rsid w:val="00650B42"/>
    <w:rsid w:val="0065590C"/>
    <w:rsid w:val="0065680F"/>
    <w:rsid w:val="00663898"/>
    <w:rsid w:val="00663D32"/>
    <w:rsid w:val="00673C5E"/>
    <w:rsid w:val="006801BE"/>
    <w:rsid w:val="0068030D"/>
    <w:rsid w:val="006842BE"/>
    <w:rsid w:val="00691D8D"/>
    <w:rsid w:val="00692DDB"/>
    <w:rsid w:val="006C066B"/>
    <w:rsid w:val="006C3DA9"/>
    <w:rsid w:val="006C6BEE"/>
    <w:rsid w:val="006D7748"/>
    <w:rsid w:val="006E1299"/>
    <w:rsid w:val="00704476"/>
    <w:rsid w:val="0070544B"/>
    <w:rsid w:val="00707AB9"/>
    <w:rsid w:val="00710A63"/>
    <w:rsid w:val="007124CB"/>
    <w:rsid w:val="00724527"/>
    <w:rsid w:val="00726D31"/>
    <w:rsid w:val="0073320C"/>
    <w:rsid w:val="007416E1"/>
    <w:rsid w:val="00747EBC"/>
    <w:rsid w:val="00757877"/>
    <w:rsid w:val="007609A9"/>
    <w:rsid w:val="00776BE1"/>
    <w:rsid w:val="007814F0"/>
    <w:rsid w:val="0078721A"/>
    <w:rsid w:val="007906F5"/>
    <w:rsid w:val="007918D8"/>
    <w:rsid w:val="00794A2A"/>
    <w:rsid w:val="00797002"/>
    <w:rsid w:val="007B7822"/>
    <w:rsid w:val="007C0CEA"/>
    <w:rsid w:val="007D4618"/>
    <w:rsid w:val="007D615C"/>
    <w:rsid w:val="007D75AC"/>
    <w:rsid w:val="007F5D26"/>
    <w:rsid w:val="00800BEC"/>
    <w:rsid w:val="008147AE"/>
    <w:rsid w:val="00820607"/>
    <w:rsid w:val="00841775"/>
    <w:rsid w:val="00847A53"/>
    <w:rsid w:val="0085466A"/>
    <w:rsid w:val="00856554"/>
    <w:rsid w:val="00876147"/>
    <w:rsid w:val="0088100F"/>
    <w:rsid w:val="008875AC"/>
    <w:rsid w:val="00890F80"/>
    <w:rsid w:val="008A6087"/>
    <w:rsid w:val="008A6120"/>
    <w:rsid w:val="008B0BB9"/>
    <w:rsid w:val="008C1E87"/>
    <w:rsid w:val="008C7777"/>
    <w:rsid w:val="008D40EF"/>
    <w:rsid w:val="008E23C6"/>
    <w:rsid w:val="008F1BF7"/>
    <w:rsid w:val="009156FC"/>
    <w:rsid w:val="00920504"/>
    <w:rsid w:val="00920579"/>
    <w:rsid w:val="0092312D"/>
    <w:rsid w:val="0092368E"/>
    <w:rsid w:val="009359C4"/>
    <w:rsid w:val="009443CA"/>
    <w:rsid w:val="00951118"/>
    <w:rsid w:val="00951C1D"/>
    <w:rsid w:val="00980A09"/>
    <w:rsid w:val="00982DF9"/>
    <w:rsid w:val="00982E7A"/>
    <w:rsid w:val="0099049C"/>
    <w:rsid w:val="009922DB"/>
    <w:rsid w:val="009A11C6"/>
    <w:rsid w:val="009A6FF2"/>
    <w:rsid w:val="009B569C"/>
    <w:rsid w:val="009C2DDA"/>
    <w:rsid w:val="009C787E"/>
    <w:rsid w:val="009D71E8"/>
    <w:rsid w:val="00A03396"/>
    <w:rsid w:val="00A11077"/>
    <w:rsid w:val="00A119D9"/>
    <w:rsid w:val="00A176BB"/>
    <w:rsid w:val="00A17C02"/>
    <w:rsid w:val="00A219BD"/>
    <w:rsid w:val="00A2559A"/>
    <w:rsid w:val="00A333AD"/>
    <w:rsid w:val="00A438C5"/>
    <w:rsid w:val="00A60376"/>
    <w:rsid w:val="00AA32F0"/>
    <w:rsid w:val="00AA4959"/>
    <w:rsid w:val="00AA6BE5"/>
    <w:rsid w:val="00AB102A"/>
    <w:rsid w:val="00AB165C"/>
    <w:rsid w:val="00AB1820"/>
    <w:rsid w:val="00AB30C6"/>
    <w:rsid w:val="00AB4AAB"/>
    <w:rsid w:val="00AB73B0"/>
    <w:rsid w:val="00AC5ECE"/>
    <w:rsid w:val="00AC6837"/>
    <w:rsid w:val="00AD53A4"/>
    <w:rsid w:val="00AE5848"/>
    <w:rsid w:val="00AF2830"/>
    <w:rsid w:val="00AF77C2"/>
    <w:rsid w:val="00B128F7"/>
    <w:rsid w:val="00B12E03"/>
    <w:rsid w:val="00B16354"/>
    <w:rsid w:val="00B16F6A"/>
    <w:rsid w:val="00B23279"/>
    <w:rsid w:val="00B24655"/>
    <w:rsid w:val="00B4204A"/>
    <w:rsid w:val="00B42D67"/>
    <w:rsid w:val="00B43D60"/>
    <w:rsid w:val="00B51ECB"/>
    <w:rsid w:val="00B51F31"/>
    <w:rsid w:val="00B664A3"/>
    <w:rsid w:val="00B6681C"/>
    <w:rsid w:val="00B905BE"/>
    <w:rsid w:val="00B921F1"/>
    <w:rsid w:val="00B97E67"/>
    <w:rsid w:val="00BA0A5D"/>
    <w:rsid w:val="00BA435C"/>
    <w:rsid w:val="00BA54CF"/>
    <w:rsid w:val="00BA6F63"/>
    <w:rsid w:val="00BC0DD0"/>
    <w:rsid w:val="00BC2EF5"/>
    <w:rsid w:val="00BC63B8"/>
    <w:rsid w:val="00BD5CBC"/>
    <w:rsid w:val="00BD5F26"/>
    <w:rsid w:val="00BE07A2"/>
    <w:rsid w:val="00BE280B"/>
    <w:rsid w:val="00BF2D2C"/>
    <w:rsid w:val="00BF5916"/>
    <w:rsid w:val="00C01461"/>
    <w:rsid w:val="00C074D8"/>
    <w:rsid w:val="00C10676"/>
    <w:rsid w:val="00C1464F"/>
    <w:rsid w:val="00C22263"/>
    <w:rsid w:val="00C360CD"/>
    <w:rsid w:val="00C43BFE"/>
    <w:rsid w:val="00C462C3"/>
    <w:rsid w:val="00C46741"/>
    <w:rsid w:val="00C51D8C"/>
    <w:rsid w:val="00C62B02"/>
    <w:rsid w:val="00C64B1D"/>
    <w:rsid w:val="00C71951"/>
    <w:rsid w:val="00C732B0"/>
    <w:rsid w:val="00C73612"/>
    <w:rsid w:val="00C74DD0"/>
    <w:rsid w:val="00C76CD7"/>
    <w:rsid w:val="00C800E9"/>
    <w:rsid w:val="00C91B53"/>
    <w:rsid w:val="00C93958"/>
    <w:rsid w:val="00CA069B"/>
    <w:rsid w:val="00CE0501"/>
    <w:rsid w:val="00CF1E36"/>
    <w:rsid w:val="00CF51FB"/>
    <w:rsid w:val="00CF6BF1"/>
    <w:rsid w:val="00CF6FDE"/>
    <w:rsid w:val="00D04877"/>
    <w:rsid w:val="00D0528E"/>
    <w:rsid w:val="00D13223"/>
    <w:rsid w:val="00D23045"/>
    <w:rsid w:val="00D244ED"/>
    <w:rsid w:val="00D4059E"/>
    <w:rsid w:val="00D40823"/>
    <w:rsid w:val="00D42097"/>
    <w:rsid w:val="00D455EB"/>
    <w:rsid w:val="00D6277A"/>
    <w:rsid w:val="00D642F3"/>
    <w:rsid w:val="00D66D9D"/>
    <w:rsid w:val="00D72217"/>
    <w:rsid w:val="00D72A96"/>
    <w:rsid w:val="00D74A2C"/>
    <w:rsid w:val="00D767B4"/>
    <w:rsid w:val="00D76992"/>
    <w:rsid w:val="00D80FAA"/>
    <w:rsid w:val="00DA1360"/>
    <w:rsid w:val="00DA49E1"/>
    <w:rsid w:val="00DB700E"/>
    <w:rsid w:val="00DD0F51"/>
    <w:rsid w:val="00DD41D6"/>
    <w:rsid w:val="00DD5362"/>
    <w:rsid w:val="00DD7D50"/>
    <w:rsid w:val="00DE5064"/>
    <w:rsid w:val="00DE554A"/>
    <w:rsid w:val="00DF17F4"/>
    <w:rsid w:val="00DF1D6D"/>
    <w:rsid w:val="00DF664D"/>
    <w:rsid w:val="00E05031"/>
    <w:rsid w:val="00E12CC9"/>
    <w:rsid w:val="00E228AB"/>
    <w:rsid w:val="00E2414D"/>
    <w:rsid w:val="00E27976"/>
    <w:rsid w:val="00E852EA"/>
    <w:rsid w:val="00E95151"/>
    <w:rsid w:val="00EA1A82"/>
    <w:rsid w:val="00EA3281"/>
    <w:rsid w:val="00EA3D9F"/>
    <w:rsid w:val="00EC3121"/>
    <w:rsid w:val="00EC7DD9"/>
    <w:rsid w:val="00ED0081"/>
    <w:rsid w:val="00F05773"/>
    <w:rsid w:val="00F07771"/>
    <w:rsid w:val="00F11538"/>
    <w:rsid w:val="00F116CB"/>
    <w:rsid w:val="00F2000F"/>
    <w:rsid w:val="00F25C58"/>
    <w:rsid w:val="00F276A8"/>
    <w:rsid w:val="00F41C00"/>
    <w:rsid w:val="00F44689"/>
    <w:rsid w:val="00F47AAF"/>
    <w:rsid w:val="00F47CB5"/>
    <w:rsid w:val="00F47D6D"/>
    <w:rsid w:val="00F52BF5"/>
    <w:rsid w:val="00F6252C"/>
    <w:rsid w:val="00F66F42"/>
    <w:rsid w:val="00F722B1"/>
    <w:rsid w:val="00F74D1E"/>
    <w:rsid w:val="00F91408"/>
    <w:rsid w:val="00F94E79"/>
    <w:rsid w:val="00FA0456"/>
    <w:rsid w:val="00FA09B9"/>
    <w:rsid w:val="00FB18A1"/>
    <w:rsid w:val="00FB629D"/>
    <w:rsid w:val="00FB737C"/>
    <w:rsid w:val="00FC51EC"/>
    <w:rsid w:val="00FC6E2E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44E6"/>
  <w15:chartTrackingRefBased/>
  <w15:docId w15:val="{D0955889-C0A5-CE4F-9563-04AD9F6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standard">
    <w:name w:val="Titolo paragrafo standard"/>
    <w:basedOn w:val="Normale"/>
    <w:qFormat/>
    <w:rsid w:val="004C3184"/>
    <w:pPr>
      <w:ind w:left="-1134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76C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6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CD7"/>
  </w:style>
  <w:style w:type="paragraph" w:styleId="Revisione">
    <w:name w:val="Revision"/>
    <w:hidden/>
    <w:uiPriority w:val="99"/>
    <w:semiHidden/>
    <w:rsid w:val="00DD5362"/>
  </w:style>
  <w:style w:type="character" w:customStyle="1" w:styleId="apple-converted-space">
    <w:name w:val="apple-converted-space"/>
    <w:basedOn w:val="Carpredefinitoparagrafo"/>
    <w:rsid w:val="00F6252C"/>
  </w:style>
  <w:style w:type="paragraph" w:styleId="Intestazione">
    <w:name w:val="header"/>
    <w:basedOn w:val="Normale"/>
    <w:link w:val="IntestazioneCarattere"/>
    <w:unhideWhenUsed/>
    <w:rsid w:val="00B23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279"/>
  </w:style>
  <w:style w:type="character" w:styleId="Numeropagina">
    <w:name w:val="page number"/>
    <w:basedOn w:val="Carpredefinitoparagrafo"/>
    <w:uiPriority w:val="99"/>
    <w:semiHidden/>
    <w:unhideWhenUsed/>
    <w:rsid w:val="00501222"/>
  </w:style>
  <w:style w:type="table" w:styleId="Grigliatabella">
    <w:name w:val="Table Grid"/>
    <w:basedOn w:val="Tabellanormale"/>
    <w:uiPriority w:val="39"/>
    <w:rsid w:val="00CF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385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231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231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31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31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312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77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ea@pec.italgas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essi@pec.italgasret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B8B569306304391DA558D8F627042" ma:contentTypeVersion="18" ma:contentTypeDescription="Creare un nuovo documento." ma:contentTypeScope="" ma:versionID="02dfe38fdb13b569f005d65be9b2a280">
  <xsd:schema xmlns:xsd="http://www.w3.org/2001/XMLSchema" xmlns:xs="http://www.w3.org/2001/XMLSchema" xmlns:p="http://schemas.microsoft.com/office/2006/metadata/properties" xmlns:ns1="http://schemas.microsoft.com/sharepoint/v3" xmlns:ns2="750d3d33-e565-4933-a1a5-b3d0c88075ec" xmlns:ns3="88ee23ef-9697-44e2-afbd-c7d1b7c75883" targetNamespace="http://schemas.microsoft.com/office/2006/metadata/properties" ma:root="true" ma:fieldsID="35ce82cf0ca816e810080bc78c97f38a" ns1:_="" ns2:_="" ns3:_="">
    <xsd:import namespace="http://schemas.microsoft.com/sharepoint/v3"/>
    <xsd:import namespace="750d3d33-e565-4933-a1a5-b3d0c88075ec"/>
    <xsd:import namespace="88ee23ef-9697-44e2-afbd-c7d1b7c7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3d33-e565-4933-a1a5-b3d0c880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10770d51-caa9-4e39-848a-794250d2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23ef-9697-44e2-afbd-c7d1b7c7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295ca6a-b6e3-44db-8403-c2a87814e7f9}" ma:internalName="TaxCatchAll" ma:showField="CatchAllData" ma:web="88ee23ef-9697-44e2-afbd-c7d1b7c75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0d3d33-e565-4933-a1a5-b3d0c88075ec" xsi:nil="true"/>
    <_ip_UnifiedCompliancePolicyUIAction xmlns="http://schemas.microsoft.com/sharepoint/v3" xsi:nil="true"/>
    <TaxCatchAll xmlns="88ee23ef-9697-44e2-afbd-c7d1b7c75883" xsi:nil="true"/>
    <_ip_UnifiedCompliancePolicyProperties xmlns="http://schemas.microsoft.com/sharepoint/v3" xsi:nil="true"/>
    <lcf76f155ced4ddcb4097134ff3c332f xmlns="750d3d33-e565-4933-a1a5-b3d0c88075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78A0B-02A5-4BB4-9B41-CCE58BD0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d3d33-e565-4933-a1a5-b3d0c88075ec"/>
    <ds:schemaRef ds:uri="88ee23ef-9697-44e2-afbd-c7d1b7c7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B933D-5AD1-BB49-874B-B9FF9C4CB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D2EC7-9E96-414C-8CC4-026E0F27352B}">
  <ds:schemaRefs>
    <ds:schemaRef ds:uri="http://schemas.microsoft.com/office/2006/metadata/properties"/>
    <ds:schemaRef ds:uri="http://schemas.microsoft.com/office/infopath/2007/PartnerControls"/>
    <ds:schemaRef ds:uri="750d3d33-e565-4933-a1a5-b3d0c88075ec"/>
    <ds:schemaRef ds:uri="http://schemas.microsoft.com/sharepoint/v3"/>
    <ds:schemaRef ds:uri="88ee23ef-9697-44e2-afbd-c7d1b7c75883"/>
  </ds:schemaRefs>
</ds:datastoreItem>
</file>

<file path=customXml/itemProps4.xml><?xml version="1.0" encoding="utf-8"?>
<ds:datastoreItem xmlns:ds="http://schemas.openxmlformats.org/officeDocument/2006/customXml" ds:itemID="{84FD215D-031D-4172-A5D2-C55CA940D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IGLegal</dc:creator>
  <cp:keywords/>
  <dc:description/>
  <cp:lastModifiedBy>Giorgi, Daniela</cp:lastModifiedBy>
  <cp:revision>5</cp:revision>
  <cp:lastPrinted>2024-06-27T09:28:00Z</cp:lastPrinted>
  <dcterms:created xsi:type="dcterms:W3CDTF">2024-07-29T08:22:00Z</dcterms:created>
  <dcterms:modified xsi:type="dcterms:W3CDTF">2024-07-29T08:27:00Z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Confidential</vt:lpwstr>
  </property>
  <property fmtid="{D5CDD505-2E9C-101B-9397-08002B2CF9AE}" pid="5" name="MSIP_Label_aaa12864-f8b0-4cd9-96ef-f0ab13b539b4_Enabled">
    <vt:lpwstr>true</vt:lpwstr>
  </property>
  <property fmtid="{D5CDD505-2E9C-101B-9397-08002B2CF9AE}" pid="6" name="MSIP_Label_aaa12864-f8b0-4cd9-96ef-f0ab13b539b4_SetDate">
    <vt:lpwstr>2023-05-31T10:05:42Z</vt:lpwstr>
  </property>
  <property fmtid="{D5CDD505-2E9C-101B-9397-08002B2CF9AE}" pid="7" name="MSIP_Label_aaa12864-f8b0-4cd9-96ef-f0ab13b539b4_Method">
    <vt:lpwstr>Privileged</vt:lpwstr>
  </property>
  <property fmtid="{D5CDD505-2E9C-101B-9397-08002B2CF9AE}" pid="8" name="MSIP_Label_aaa12864-f8b0-4cd9-96ef-f0ab13b539b4_Name">
    <vt:lpwstr>Interno – con Visual Marking</vt:lpwstr>
  </property>
  <property fmtid="{D5CDD505-2E9C-101B-9397-08002B2CF9AE}" pid="9" name="MSIP_Label_aaa12864-f8b0-4cd9-96ef-f0ab13b539b4_SiteId">
    <vt:lpwstr>a4d618cc-cf96-4e63-9d38-9185499aae90</vt:lpwstr>
  </property>
  <property fmtid="{D5CDD505-2E9C-101B-9397-08002B2CF9AE}" pid="10" name="MSIP_Label_aaa12864-f8b0-4cd9-96ef-f0ab13b539b4_ActionId">
    <vt:lpwstr>0a61c0e5-bd94-4433-bf9f-f8c85ca59e67</vt:lpwstr>
  </property>
  <property fmtid="{D5CDD505-2E9C-101B-9397-08002B2CF9AE}" pid="11" name="MSIP_Label_aaa12864-f8b0-4cd9-96ef-f0ab13b539b4_ContentBits">
    <vt:lpwstr>3</vt:lpwstr>
  </property>
  <property fmtid="{D5CDD505-2E9C-101B-9397-08002B2CF9AE}" pid="12" name="ContentTypeId">
    <vt:lpwstr>0x010100D76B8B569306304391DA558D8F627042</vt:lpwstr>
  </property>
  <property fmtid="{D5CDD505-2E9C-101B-9397-08002B2CF9AE}" pid="13" name="MediaServiceImageTags">
    <vt:lpwstr/>
  </property>
  <property fmtid="{D5CDD505-2E9C-101B-9397-08002B2CF9AE}" pid="14" name="MSIP_Label_1fc7cca4-017c-4d62-8dad-14354903cacc_Enabled">
    <vt:lpwstr>true</vt:lpwstr>
  </property>
  <property fmtid="{D5CDD505-2E9C-101B-9397-08002B2CF9AE}" pid="15" name="MSIP_Label_1fc7cca4-017c-4d62-8dad-14354903cacc_SetDate">
    <vt:lpwstr>2024-06-27T14:36:36Z</vt:lpwstr>
  </property>
  <property fmtid="{D5CDD505-2E9C-101B-9397-08002B2CF9AE}" pid="16" name="MSIP_Label_1fc7cca4-017c-4d62-8dad-14354903cacc_Method">
    <vt:lpwstr>Standard</vt:lpwstr>
  </property>
  <property fmtid="{D5CDD505-2E9C-101B-9397-08002B2CF9AE}" pid="17" name="MSIP_Label_1fc7cca4-017c-4d62-8dad-14354903cacc_Name">
    <vt:lpwstr>C1 Confidential</vt:lpwstr>
  </property>
  <property fmtid="{D5CDD505-2E9C-101B-9397-08002B2CF9AE}" pid="18" name="MSIP_Label_1fc7cca4-017c-4d62-8dad-14354903cacc_SiteId">
    <vt:lpwstr>13088d93-50a5-4881-b6f2-ef681814a814</vt:lpwstr>
  </property>
  <property fmtid="{D5CDD505-2E9C-101B-9397-08002B2CF9AE}" pid="19" name="MSIP_Label_1fc7cca4-017c-4d62-8dad-14354903cacc_ActionId">
    <vt:lpwstr>416c5c7d-44a8-4be9-8657-4af060d3db62</vt:lpwstr>
  </property>
  <property fmtid="{D5CDD505-2E9C-101B-9397-08002B2CF9AE}" pid="20" name="MSIP_Label_1fc7cca4-017c-4d62-8dad-14354903cacc_ContentBits">
    <vt:lpwstr>2</vt:lpwstr>
  </property>
</Properties>
</file>